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lang w:eastAsia="zh-CN"/>
        </w:rPr>
      </w:pPr>
      <w:bookmarkStart w:id="0" w:name="_GoBack"/>
      <w:r>
        <w:t>藏红 T</w:t>
      </w:r>
      <w:r>
        <w:rPr>
          <w:rFonts w:hint="eastAsia"/>
          <w:lang w:eastAsia="zh-CN"/>
        </w:rPr>
        <w:t>安全说明书</w:t>
      </w:r>
    </w:p>
    <w:bookmarkEnd w:id="0"/>
    <w:p>
      <w:pPr>
        <w:pStyle w:val="3"/>
        <w:spacing w:before="0" w:line="280" w:lineRule="auto"/>
        <w:ind w:right="9013"/>
      </w:pPr>
      <w:r>
        <w:rPr>
          <w:w w:val="95"/>
        </w:rPr>
        <w:t>1.化学品及企业标识</w:t>
      </w:r>
      <w:r>
        <w:t>中文名：藏红 T</w:t>
      </w:r>
    </w:p>
    <w:p>
      <w:pPr>
        <w:pStyle w:val="3"/>
        <w:spacing w:before="0"/>
      </w:pPr>
      <w:r>
        <w:t>英文名：Safranine T</w:t>
      </w:r>
    </w:p>
    <w:p>
      <w:pPr>
        <w:pStyle w:val="3"/>
        <w:spacing w:before="40" w:line="280" w:lineRule="auto"/>
        <w:ind w:right="250"/>
      </w:pPr>
      <w:r>
        <w:rPr>
          <w:spacing w:val="-3"/>
        </w:rPr>
        <w:t xml:space="preserve">中文别名：藏红 </w:t>
      </w:r>
      <w:r>
        <w:t>T；</w:t>
      </w:r>
      <w:r>
        <w:rPr>
          <w:spacing w:val="-5"/>
        </w:rPr>
        <w:t xml:space="preserve">碱性红 </w:t>
      </w:r>
      <w:r>
        <w:t>2；</w:t>
      </w:r>
      <w:r>
        <w:rPr>
          <w:spacing w:val="-3"/>
        </w:rPr>
        <w:t xml:space="preserve">棉红；番红 </w:t>
      </w:r>
      <w:r>
        <w:t>O；</w:t>
      </w:r>
      <w:r>
        <w:rPr>
          <w:spacing w:val="-6"/>
        </w:rPr>
        <w:t xml:space="preserve">沙红 </w:t>
      </w:r>
      <w:r>
        <w:t>O；</w:t>
      </w:r>
      <w:r>
        <w:rPr>
          <w:spacing w:val="-6"/>
        </w:rPr>
        <w:t xml:space="preserve">番红 </w:t>
      </w:r>
      <w:r>
        <w:t>T；番红Y或A；</w:t>
      </w:r>
      <w:r>
        <w:rPr>
          <w:spacing w:val="-2"/>
        </w:rPr>
        <w:t xml:space="preserve">碱性藏红花；番红花红 </w:t>
      </w:r>
      <w:r>
        <w:t>T；</w:t>
      </w:r>
      <w:r>
        <w:rPr>
          <w:spacing w:val="-2"/>
        </w:rPr>
        <w:t>蓝光藏红花；盐基桃红；沙</w:t>
      </w:r>
      <w:r>
        <w:t>黄</w:t>
      </w:r>
    </w:p>
    <w:p>
      <w:pPr>
        <w:pStyle w:val="3"/>
        <w:spacing w:before="0" w:line="280" w:lineRule="auto"/>
        <w:ind w:right="958"/>
      </w:pPr>
      <w:r>
        <w:rPr>
          <w:w w:val="85"/>
        </w:rPr>
        <w:t>英文别名：Safranine</w:t>
      </w:r>
      <w:r>
        <w:rPr>
          <w:spacing w:val="-13"/>
          <w:w w:val="85"/>
        </w:rPr>
        <w:t xml:space="preserve"> </w:t>
      </w:r>
      <w:r>
        <w:rPr>
          <w:w w:val="85"/>
        </w:rPr>
        <w:t>T;Basic</w:t>
      </w:r>
      <w:r>
        <w:rPr>
          <w:spacing w:val="-12"/>
          <w:w w:val="85"/>
        </w:rPr>
        <w:t xml:space="preserve"> </w:t>
      </w:r>
      <w:r>
        <w:rPr>
          <w:w w:val="85"/>
        </w:rPr>
        <w:t>Red</w:t>
      </w:r>
      <w:r>
        <w:rPr>
          <w:spacing w:val="-12"/>
          <w:w w:val="85"/>
        </w:rPr>
        <w:t xml:space="preserve"> </w:t>
      </w:r>
      <w:r>
        <w:rPr>
          <w:w w:val="85"/>
        </w:rPr>
        <w:t>2;Cotton</w:t>
      </w:r>
      <w:r>
        <w:rPr>
          <w:spacing w:val="-13"/>
          <w:w w:val="85"/>
        </w:rPr>
        <w:t xml:space="preserve"> </w:t>
      </w:r>
      <w:r>
        <w:rPr>
          <w:w w:val="85"/>
        </w:rPr>
        <w:t>Red;Safranin</w:t>
      </w:r>
      <w:r>
        <w:rPr>
          <w:spacing w:val="-12"/>
          <w:w w:val="85"/>
        </w:rPr>
        <w:t xml:space="preserve"> </w:t>
      </w:r>
      <w:r>
        <w:rPr>
          <w:w w:val="85"/>
        </w:rPr>
        <w:t>O;Safranin</w:t>
      </w:r>
      <w:r>
        <w:rPr>
          <w:spacing w:val="-12"/>
          <w:w w:val="85"/>
        </w:rPr>
        <w:t xml:space="preserve"> </w:t>
      </w:r>
      <w:r>
        <w:rPr>
          <w:w w:val="85"/>
        </w:rPr>
        <w:t>T;Safranin</w:t>
      </w:r>
      <w:r>
        <w:rPr>
          <w:spacing w:val="-13"/>
          <w:w w:val="85"/>
        </w:rPr>
        <w:t xml:space="preserve"> </w:t>
      </w:r>
      <w:r>
        <w:rPr>
          <w:w w:val="85"/>
        </w:rPr>
        <w:t>Y</w:t>
      </w:r>
      <w:r>
        <w:rPr>
          <w:spacing w:val="-12"/>
          <w:w w:val="85"/>
        </w:rPr>
        <w:t xml:space="preserve"> </w:t>
      </w:r>
      <w:r>
        <w:rPr>
          <w:w w:val="85"/>
        </w:rPr>
        <w:t>or</w:t>
      </w:r>
      <w:r>
        <w:rPr>
          <w:spacing w:val="-12"/>
          <w:w w:val="85"/>
        </w:rPr>
        <w:t xml:space="preserve"> </w:t>
      </w:r>
      <w:r>
        <w:rPr>
          <w:w w:val="85"/>
        </w:rPr>
        <w:t xml:space="preserve">A;3,7-Diamino-2,8-dimethyl-5-phenylphenazinium </w:t>
      </w:r>
      <w:r>
        <w:t>推荐用途：实验室用化验、试验及科学实验。</w:t>
      </w:r>
    </w:p>
    <w:p>
      <w:pPr>
        <w:pStyle w:val="3"/>
        <w:spacing w:before="0"/>
      </w:pPr>
      <w:r>
        <w:t>限制用途：不可作为药品、食品、家庭或其它用途</w:t>
      </w:r>
    </w:p>
    <w:p>
      <w:pPr>
        <w:pStyle w:val="3"/>
        <w:spacing w:before="40"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CSDS477-73-6 藏红 T</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2.1   紧急情况概述：深红色固体。造成严重眼损伤。过量接触需采取特殊急救措施和进行医疗随访。用水雾、耐醇泡沫、干粉或二氧</w:t>
      </w:r>
      <w:r>
        <w:t>化碳灭火。如必要的话,戴自给式呼吸器去救火。</w:t>
      </w:r>
    </w:p>
    <w:p>
      <w:pPr>
        <w:pStyle w:val="3"/>
        <w:spacing w:before="0"/>
      </w:pPr>
      <w:r>
        <w:rPr>
          <w:w w:val="97"/>
        </w:rPr>
        <w:t xml:space="preserve"> </w:t>
      </w:r>
      <w:r>
        <w:t>2.2 GHS危险性分类：严重眼睛损伤（类别1）</w:t>
      </w:r>
    </w:p>
    <w:p>
      <w:pPr>
        <w:pStyle w:val="3"/>
        <w:spacing w:before="40"/>
      </w:pPr>
      <w:r>
        <w:rPr>
          <w:w w:val="97"/>
        </w:rPr>
        <w:t xml:space="preserve"> </w:t>
      </w:r>
      <w:r>
        <w:t>2.3 GHS标记要素，包括预防性的陈述：</w:t>
      </w:r>
    </w:p>
    <w:p>
      <w:pPr>
        <w:pStyle w:val="3"/>
      </w:pPr>
      <w:r>
        <w:drawing>
          <wp:anchor distT="0" distB="0" distL="0" distR="0" simplePos="0" relativeHeight="251659264" behindDoc="0" locked="0" layoutInCell="1" allowOverlap="1">
            <wp:simplePos x="0" y="0"/>
            <wp:positionH relativeFrom="page">
              <wp:posOffset>464185</wp:posOffset>
            </wp:positionH>
            <wp:positionV relativeFrom="paragraph">
              <wp:posOffset>189865</wp:posOffset>
            </wp:positionV>
            <wp:extent cx="754380" cy="762000"/>
            <wp:effectExtent l="0" t="0" r="7620" b="0"/>
            <wp:wrapTopAndBottom/>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jpeg"/>
                    <pic:cNvPicPr>
                      <a:picLocks noChangeAspect="1"/>
                    </pic:cNvPicPr>
                  </pic:nvPicPr>
                  <pic:blipFill>
                    <a:blip r:embed="rId6" cstate="print"/>
                    <a:stretch>
                      <a:fillRect/>
                    </a:stretch>
                  </pic:blipFill>
                  <pic:spPr>
                    <a:xfrm>
                      <a:off x="0" y="0"/>
                      <a:ext cx="75438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pPr>
      <w:r>
        <w:rPr>
          <w:w w:val="97"/>
        </w:rPr>
        <w:t xml:space="preserve"> </w:t>
      </w:r>
      <w:r>
        <w:t>危险信息：造成严重眼损伤。</w:t>
      </w:r>
    </w:p>
    <w:p>
      <w:pPr>
        <w:pStyle w:val="3"/>
      </w:pPr>
      <w:r>
        <w:rPr>
          <w:w w:val="97"/>
        </w:rPr>
        <w:t xml:space="preserve"> </w:t>
      </w:r>
      <w:r>
        <w:t>预防措施：穿戴防护手套/眼保护罩/面部保护罩。</w:t>
      </w:r>
    </w:p>
    <w:p>
      <w:pPr>
        <w:pStyle w:val="3"/>
        <w:spacing w:before="40" w:line="280" w:lineRule="auto"/>
        <w:ind w:right="280"/>
      </w:pPr>
      <w:r>
        <w:rPr>
          <w:w w:val="99"/>
        </w:rPr>
        <w:t xml:space="preserve"> </w:t>
      </w:r>
      <w:r>
        <w:rPr>
          <w:spacing w:val="-1"/>
          <w:w w:val="95"/>
        </w:rPr>
        <w:t xml:space="preserve">事故响应：如与眼睛接触，用水缓慢温和地冲洗几分钟。如戴隐形眼镜并可方便地取出，取出隐形眼镜，然后继续冲洗。立即呼叫     </w:t>
      </w:r>
      <w:r>
        <w:t>中毒控制中心或医生。</w:t>
      </w:r>
    </w:p>
    <w:p>
      <w:pPr>
        <w:pStyle w:val="3"/>
        <w:spacing w:before="0"/>
      </w:pPr>
      <w:r>
        <w:rPr>
          <w:w w:val="96"/>
        </w:rPr>
        <w:t xml:space="preserve"> </w:t>
      </w:r>
      <w:r>
        <w:rPr>
          <w:w w:val="95"/>
        </w:rPr>
        <w:t>安全存储：不适用</w:t>
      </w:r>
    </w:p>
    <w:p>
      <w:pPr>
        <w:pStyle w:val="3"/>
        <w:spacing w:before="40"/>
      </w:pPr>
      <w:r>
        <w:rPr>
          <w:w w:val="96"/>
        </w:rPr>
        <w:t xml:space="preserve"> </w:t>
      </w:r>
      <w:r>
        <w:rPr>
          <w:w w:val="95"/>
        </w:rPr>
        <w:t>废弃处置：不适用</w:t>
      </w:r>
    </w:p>
    <w:p>
      <w:pPr>
        <w:pStyle w:val="3"/>
      </w:pPr>
      <w:r>
        <w:rPr>
          <w:w w:val="94"/>
        </w:rPr>
        <w:t xml:space="preserve"> </w:t>
      </w:r>
      <w:r>
        <w:rPr>
          <w:w w:val="95"/>
        </w:rPr>
        <w:t>2.4</w:t>
      </w:r>
      <w:r>
        <w:rPr>
          <w:spacing w:val="-5"/>
          <w:w w:val="95"/>
        </w:rPr>
        <w:t xml:space="preserve"> 物理化学危险性信息：不适用</w:t>
      </w:r>
    </w:p>
    <w:p>
      <w:pPr>
        <w:pStyle w:val="3"/>
      </w:pPr>
      <w:r>
        <w:rPr>
          <w:w w:val="94"/>
        </w:rPr>
        <w:t xml:space="preserve"> </w:t>
      </w:r>
      <w:r>
        <w:rPr>
          <w:w w:val="95"/>
        </w:rPr>
        <w:t>2.5</w:t>
      </w:r>
      <w:r>
        <w:rPr>
          <w:spacing w:val="-5"/>
          <w:w w:val="95"/>
        </w:rPr>
        <w:t xml:space="preserve"> 健康危害：造成严重眼损伤。</w:t>
      </w:r>
    </w:p>
    <w:p>
      <w:pPr>
        <w:pStyle w:val="3"/>
        <w:spacing w:before="40"/>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0"/>
        <w:ind w:left="140"/>
      </w:pPr>
      <w:r>
        <w:t>主要成分：藏红T</w:t>
      </w:r>
      <w:r>
        <w:tab/>
      </w:r>
      <w:r>
        <w:rPr>
          <w:w w:val="95"/>
        </w:rPr>
        <w:t>477-73-6</w:t>
      </w:r>
      <w:r>
        <w:rPr>
          <w:w w:val="95"/>
        </w:rPr>
        <w:tab/>
      </w:r>
      <w:r>
        <w:t>≤100</w:t>
      </w:r>
    </w:p>
    <w:p>
      <w:pPr>
        <w:tabs>
          <w:tab w:val="left" w:pos="10568"/>
        </w:tabs>
        <w:spacing w:before="20"/>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0"/>
        <w:ind w:left="140"/>
      </w:pPr>
      <w:r>
        <w:t>次要成分：</w:t>
      </w:r>
    </w:p>
    <w:p>
      <w:pPr>
        <w:spacing w:before="20"/>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spacing w:after="0"/>
        <w:sectPr>
          <w:pgSz w:w="11900" w:h="16840"/>
          <w:pgMar w:top="760" w:right="600" w:bottom="700" w:left="620" w:header="0" w:footer="509" w:gutter="0"/>
          <w:cols w:space="720" w:num="1"/>
        </w:sectPr>
      </w:pPr>
    </w:p>
    <w:p>
      <w:pPr>
        <w:pStyle w:val="3"/>
        <w:spacing w:before="50"/>
      </w:pPr>
      <w:r>
        <w:rPr>
          <w:w w:val="95"/>
        </w:rPr>
        <w:t xml:space="preserve"> </w:t>
      </w:r>
      <w:r>
        <w:t>4.2 主要症状和影响，急性和迟发效应：无资料</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6"/>
        </w:rPr>
        <w:t xml:space="preserve"> </w:t>
      </w:r>
      <w:r>
        <w:t>5.2 灭火方法或灭火剂：用水雾、耐醇泡沫、干粉或二氧化碳灭火。</w:t>
      </w:r>
    </w:p>
    <w:p>
      <w:pPr>
        <w:pStyle w:val="3"/>
        <w:spacing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before="40" w:line="280" w:lineRule="auto"/>
        <w:ind w:right="214"/>
      </w:pPr>
      <w:r>
        <w:rPr>
          <w:w w:val="98"/>
        </w:rPr>
        <w:t xml:space="preserve"> </w:t>
      </w:r>
      <w:r>
        <w:rPr>
          <w:w w:val="95"/>
        </w:rPr>
        <w:t>6.1   作业人员的防护措施、防护设备和应急处置程序：使用个人防护用品。避免粉尘生成。避免吸入蒸气、烟雾或气体。保证充分的</w:t>
      </w:r>
      <w:r>
        <w:t>通风。人员疏散到安全区域。避免吸入粉尘。</w:t>
      </w:r>
    </w:p>
    <w:p>
      <w:pPr>
        <w:pStyle w:val="3"/>
        <w:spacing w:before="0"/>
      </w:pPr>
      <w:r>
        <w:rPr>
          <w:w w:val="98"/>
        </w:rPr>
        <w:t xml:space="preserve"> </w:t>
      </w:r>
      <w:r>
        <w:t>6.2 环境保护措施：如能确保安全，可采取措施防止进一步的泄漏或溢出。不要让产品进入下水道。避免排放到周围环境中。</w:t>
      </w:r>
    </w:p>
    <w:p>
      <w:pPr>
        <w:pStyle w:val="3"/>
        <w:spacing w:before="0" w:line="270" w:lineRule="atLeast"/>
        <w:ind w:right="214"/>
      </w:pPr>
      <w:r>
        <w:rPr>
          <w:w w:val="98"/>
        </w:rPr>
        <w:t xml:space="preserve"> </w:t>
      </w:r>
      <w:r>
        <w:rPr>
          <w:w w:val="95"/>
        </w:rPr>
        <w:t>6.3   泄露化学品的收容、清除方法及所使用的处置材料：围堵溢出，用防电真空清洁器或湿刷子将溢出物收集起来，并放置到容器中</w:t>
      </w:r>
      <w:r>
        <w:t>去,根据当地规定处理。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line="280" w:lineRule="auto"/>
        <w:ind w:right="114"/>
      </w:pPr>
      <w:r>
        <w:rPr>
          <w:w w:val="97"/>
        </w:rPr>
        <w:t xml:space="preserve"> </w:t>
      </w:r>
      <w:r>
        <w:rPr>
          <w:w w:val="95"/>
        </w:rPr>
        <w:t>7.1   安全处置注意事项：避免接触皮肤和眼睛。防止粉尘和气溶胶生成。在有粉尘生成的地方,提供合适的排风设备。防止吸入蒸汽和</w:t>
      </w:r>
      <w:r>
        <w:t>烟雾。切勿靠近火源。－严禁烟火。采取措施防止静电积聚。</w:t>
      </w:r>
    </w:p>
    <w:p>
      <w:pPr>
        <w:pStyle w:val="3"/>
        <w:spacing w:before="1"/>
      </w:pPr>
      <w:r>
        <w:rPr>
          <w:w w:val="97"/>
        </w:rPr>
        <w:t xml:space="preserve"> </w:t>
      </w:r>
      <w:r>
        <w:t>7.2 安全储存注意事项：贮存在阴凉处。容器保持紧闭，储存在干燥通风处。</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spacing w:before="40"/>
      </w:pPr>
      <w:r>
        <w:rPr>
          <w:w w:val="93"/>
        </w:rPr>
        <w:t xml:space="preserve"> </w:t>
      </w:r>
      <w:r>
        <w:t>8.1 作业场所职业接触限值：</w:t>
      </w:r>
    </w:p>
    <w:p>
      <w:pPr>
        <w:pStyle w:val="3"/>
      </w:pPr>
      <w:r>
        <w:rPr>
          <w:w w:val="105"/>
        </w:rPr>
        <w:t xml:space="preserve"> MAC(mg/m3)：无资料</w:t>
      </w:r>
    </w:p>
    <w:p>
      <w:pPr>
        <w:pStyle w:val="3"/>
      </w:pPr>
      <w:r>
        <w:rPr>
          <w:w w:val="100"/>
        </w:rPr>
        <w:t xml:space="preserve"> </w:t>
      </w:r>
      <w:r>
        <w:t>PC-STEL(mg/m3)：无资料</w:t>
      </w:r>
    </w:p>
    <w:p>
      <w:pPr>
        <w:pStyle w:val="3"/>
        <w:spacing w:before="40"/>
      </w:pPr>
      <w:r>
        <w:rPr>
          <w:w w:val="106"/>
        </w:rPr>
        <w:t xml:space="preserve"> </w:t>
      </w:r>
      <w:r>
        <w:rPr>
          <w:w w:val="105"/>
        </w:rPr>
        <w:t>TLV-TWA(mg/m3)：无资料</w:t>
      </w:r>
    </w:p>
    <w:p>
      <w:pPr>
        <w:pStyle w:val="3"/>
      </w:pPr>
      <w:r>
        <w:rPr>
          <w:w w:val="105"/>
        </w:rPr>
        <w:t xml:space="preserve"> PC-TWA(mg/m3)：无资料</w:t>
      </w:r>
    </w:p>
    <w:p>
      <w:pPr>
        <w:pStyle w:val="3"/>
      </w:pPr>
      <w:r>
        <w:rPr>
          <w:w w:val="101"/>
        </w:rPr>
        <w:t xml:space="preserve"> </w:t>
      </w:r>
      <w:r>
        <w:t>TLV-C(mg/m3)：无资料</w:t>
      </w:r>
    </w:p>
    <w:p>
      <w:pPr>
        <w:pStyle w:val="3"/>
        <w:spacing w:before="40"/>
      </w:pPr>
      <w:r>
        <w:rPr>
          <w:w w:val="103"/>
        </w:rPr>
        <w:t xml:space="preserve"> </w:t>
      </w:r>
      <w:r>
        <w:rPr>
          <w:w w:val="105"/>
        </w:rPr>
        <w:t>TLV=STEL(mg/m3)：无资料</w:t>
      </w:r>
    </w:p>
    <w:p>
      <w:pPr>
        <w:pStyle w:val="3"/>
      </w:pPr>
      <w:r>
        <w:rPr>
          <w:w w:val="91"/>
        </w:rPr>
        <w:t xml:space="preserve"> </w:t>
      </w:r>
      <w:r>
        <w:t>8.2 检测方法：无资料</w:t>
      </w:r>
    </w:p>
    <w:p>
      <w:pPr>
        <w:pStyle w:val="3"/>
        <w:spacing w:before="40"/>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1"/>
      </w:pPr>
      <w:r>
        <w:rPr>
          <w:w w:val="89"/>
        </w:rPr>
        <w:t xml:space="preserve">     </w:t>
      </w:r>
      <w:r>
        <w:t>手防护：戴防化学品手套。</w:t>
      </w:r>
    </w:p>
    <w:p>
      <w:pPr>
        <w:pStyle w:val="3"/>
      </w:pPr>
      <w:r>
        <w:rPr>
          <w:w w:val="91"/>
        </w:rPr>
        <w:t xml:space="preserve">     </w:t>
      </w:r>
      <w:r>
        <w:t>眼睛防护：戴化学安全防护眼镜。</w:t>
      </w:r>
    </w:p>
    <w:p>
      <w:pPr>
        <w:pStyle w:val="3"/>
      </w:pPr>
      <w:r>
        <w:rPr>
          <w:w w:val="92"/>
        </w:rPr>
        <w:t xml:space="preserve">     </w:t>
      </w:r>
      <w:r>
        <w:t>皮肤和身体防护：穿化学品防护服。</w:t>
      </w:r>
    </w:p>
    <w:p>
      <w:pPr>
        <w:pStyle w:val="3"/>
        <w:spacing w:before="40"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外观与性状：绿色、红棕色至黑色粉末。</w:t>
      </w:r>
      <w:r>
        <w:tab/>
      </w:r>
      <w:r>
        <w:t>气味：无资料</w:t>
      </w:r>
    </w:p>
    <w:p>
      <w:pPr>
        <w:pStyle w:val="3"/>
        <w:tabs>
          <w:tab w:val="left" w:pos="6415"/>
        </w:tabs>
        <w:spacing w:before="7"/>
        <w:ind w:left="140"/>
      </w:pPr>
      <w:r>
        <w:t>气味阈值：无资料</w:t>
      </w:r>
      <w:r>
        <w:tab/>
      </w:r>
      <w:r>
        <w:t>pH：10(10g/L,H2O,20℃)</w:t>
      </w:r>
    </w:p>
    <w:p>
      <w:pPr>
        <w:pStyle w:val="3"/>
        <w:tabs>
          <w:tab w:val="left" w:pos="6415"/>
        </w:tabs>
        <w:spacing w:before="8"/>
        <w:ind w:left="140"/>
      </w:pPr>
      <w:r>
        <w:t>熔点/凝固点(℃)：无资料</w:t>
      </w:r>
      <w:r>
        <w:tab/>
      </w:r>
      <w:r>
        <w:t>沸点、初沸点、沸程(℃)：无资料</w:t>
      </w:r>
    </w:p>
    <w:p>
      <w:pPr>
        <w:pStyle w:val="3"/>
        <w:tabs>
          <w:tab w:val="left" w:pos="6415"/>
        </w:tabs>
        <w:spacing w:before="8"/>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7"/>
        <w:ind w:left="140"/>
      </w:pPr>
      <w:r>
        <w:t>辛醇/水分配系数的对数值：无资料</w:t>
      </w:r>
      <w:r>
        <w:tab/>
      </w:r>
      <w:r>
        <w:rPr>
          <w:w w:val="95"/>
        </w:rPr>
        <w:t>闪点(℃)：无资料</w:t>
      </w:r>
    </w:p>
    <w:p>
      <w:pPr>
        <w:pStyle w:val="3"/>
        <w:tabs>
          <w:tab w:val="left" w:pos="6415"/>
        </w:tabs>
        <w:spacing w:before="8"/>
        <w:ind w:left="140"/>
      </w:pPr>
      <w:r>
        <w:t>自燃温度(℃)：无资料</w:t>
      </w:r>
      <w:r>
        <w:tab/>
      </w:r>
      <w:r>
        <w:t>爆炸上限%（V/V）：无资料</w:t>
      </w:r>
    </w:p>
    <w:p>
      <w:pPr>
        <w:spacing w:after="0"/>
        <w:sectPr>
          <w:pgSz w:w="11900" w:h="16840"/>
          <w:pgMar w:top="760" w:right="600" w:bottom="700" w:left="620" w:header="0" w:footer="509" w:gutter="0"/>
          <w:cols w:space="720" w:num="1"/>
        </w:sectPr>
      </w:pPr>
    </w:p>
    <w:p>
      <w:pPr>
        <w:pStyle w:val="3"/>
        <w:spacing w:before="47" w:line="187" w:lineRule="auto"/>
        <w:ind w:left="140"/>
        <w:jc w:val="both"/>
      </w:pPr>
      <w:r>
        <w:t>溶解性：易溶于水成红色溶液，溶于乙醇红色带黄色荧光；对盐酸为蓝红色溶液，过多则呈紫色，大量过多则转为蓝色；对氢氧化钠则生成棕红色沉淀；对硫酸则为绿色溶液，稀释时先变成蓝色，渐变成紫色，最后变成红色。</w:t>
      </w:r>
    </w:p>
    <w:p>
      <w:pPr>
        <w:pStyle w:val="3"/>
        <w:spacing w:before="8"/>
        <w:ind w:left="115"/>
      </w:pPr>
      <w:r>
        <w:br w:type="column"/>
      </w:r>
      <w:r>
        <w:rPr>
          <w:w w:val="105"/>
        </w:rPr>
        <w:t>爆炸下限%（V/V）：无资料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20"/>
        <w:ind w:left="140"/>
      </w:pPr>
      <w:r>
        <w:t>易燃性（固体、气体）：无资料</w:t>
      </w:r>
      <w:r>
        <w:tab/>
      </w:r>
      <w:r>
        <w:t>蒸发速率：无资料</w:t>
      </w:r>
    </w:p>
    <w:p>
      <w:pPr>
        <w:pStyle w:val="3"/>
        <w:spacing w:before="169"/>
      </w:pPr>
      <w:r>
        <w:rPr>
          <w:w w:val="95"/>
        </w:rPr>
        <w:t>10.稳定性和反应性</w:t>
      </w:r>
    </w:p>
    <w:p>
      <w:pPr>
        <w:pStyle w:val="3"/>
      </w:pPr>
      <w:r>
        <w:rPr>
          <w:w w:val="89"/>
        </w:rPr>
        <w:t xml:space="preserve"> </w:t>
      </w:r>
      <w:r>
        <w:rPr>
          <w:w w:val="90"/>
        </w:rPr>
        <w:t>10.1</w:t>
      </w:r>
      <w:r>
        <w:rPr>
          <w:spacing w:val="-3"/>
          <w:w w:val="90"/>
        </w:rPr>
        <w:t xml:space="preserve"> 稳定性：稳定</w:t>
      </w:r>
    </w:p>
    <w:p>
      <w:pPr>
        <w:pStyle w:val="3"/>
        <w:spacing w:before="40"/>
      </w:pPr>
      <w:r>
        <w:rPr>
          <w:w w:val="91"/>
        </w:rPr>
        <w:t xml:space="preserve"> </w:t>
      </w:r>
      <w:r>
        <w:t>10.2 危险反应：无资料</w:t>
      </w:r>
    </w:p>
    <w:p>
      <w:pPr>
        <w:pStyle w:val="3"/>
      </w:pPr>
      <w:r>
        <w:rPr>
          <w:w w:val="92"/>
        </w:rPr>
        <w:t xml:space="preserve"> </w:t>
      </w:r>
      <w:r>
        <w:rPr>
          <w:w w:val="95"/>
        </w:rPr>
        <w:t>10.3</w:t>
      </w:r>
      <w:r>
        <w:rPr>
          <w:spacing w:val="-8"/>
          <w:w w:val="95"/>
        </w:rPr>
        <w:t xml:space="preserve"> 应避免的条件：无资料</w:t>
      </w:r>
    </w:p>
    <w:p>
      <w:pPr>
        <w:pStyle w:val="3"/>
      </w:pPr>
      <w:r>
        <w:rPr>
          <w:w w:val="92"/>
        </w:rPr>
        <w:t xml:space="preserve"> </w:t>
      </w:r>
      <w:r>
        <w:rPr>
          <w:w w:val="95"/>
        </w:rPr>
        <w:t>10.4</w:t>
      </w:r>
      <w:r>
        <w:rPr>
          <w:spacing w:val="-8"/>
          <w:w w:val="95"/>
        </w:rPr>
        <w:t xml:space="preserve"> 不相容物质：强氧化剂</w:t>
      </w:r>
    </w:p>
    <w:p>
      <w:pPr>
        <w:pStyle w:val="3"/>
        <w:spacing w:before="40"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11.毒理学信息</w:t>
      </w:r>
    </w:p>
    <w:p>
      <w:pPr>
        <w:pStyle w:val="3"/>
      </w:pPr>
      <w:r>
        <w:rPr>
          <w:w w:val="91"/>
        </w:rPr>
        <w:t xml:space="preserve"> </w:t>
      </w:r>
      <w:r>
        <w:t>11.1 急性毒性：无资料</w:t>
      </w:r>
    </w:p>
    <w:p>
      <w:pPr>
        <w:spacing w:after="0"/>
        <w:sectPr>
          <w:type w:val="continuous"/>
          <w:pgSz w:w="11900" w:h="16840"/>
          <w:pgMar w:top="1580" w:right="600" w:bottom="1180" w:left="620" w:header="720" w:footer="720" w:gutter="0"/>
          <w:cols w:space="720" w:num="1"/>
        </w:sectPr>
      </w:pPr>
    </w:p>
    <w:p>
      <w:pPr>
        <w:pStyle w:val="3"/>
        <w:spacing w:before="50"/>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spacing w:before="40"/>
        <w:jc w:val="both"/>
      </w:pPr>
      <w:r>
        <w:rPr>
          <w:w w:val="91"/>
        </w:rPr>
        <w:t xml:space="preserve"> </w:t>
      </w:r>
      <w:r>
        <w:t>11.7 生殖毒性：无资料</w:t>
      </w:r>
    </w:p>
    <w:p>
      <w:pPr>
        <w:pStyle w:val="3"/>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spacing w:before="40"/>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jc w:val="both"/>
      </w:pPr>
      <w:r>
        <w:rPr>
          <w:w w:val="95"/>
        </w:rPr>
        <w:t xml:space="preserve"> 吸入：无资料</w:t>
      </w:r>
    </w:p>
    <w:p>
      <w:pPr>
        <w:pStyle w:val="3"/>
        <w:spacing w:before="40"/>
        <w:jc w:val="both"/>
      </w:pPr>
      <w:r>
        <w:rPr>
          <w:w w:val="95"/>
        </w:rPr>
        <w:t xml:space="preserve"> 摄入：无资料</w:t>
      </w:r>
    </w:p>
    <w:p>
      <w:pPr>
        <w:pStyle w:val="3"/>
        <w:jc w:val="both"/>
      </w:pPr>
      <w:r>
        <w:rPr>
          <w:w w:val="95"/>
        </w:rPr>
        <w:t xml:space="preserve"> 皮肤：无资料</w:t>
      </w:r>
    </w:p>
    <w:p>
      <w:pPr>
        <w:pStyle w:val="3"/>
        <w:spacing w:before="40" w:line="220" w:lineRule="exact"/>
        <w:jc w:val="both"/>
      </w:pPr>
      <w:r>
        <w:rPr>
          <w:w w:val="95"/>
        </w:rPr>
        <w:t xml:space="preserve"> 眼睛：无资料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rPr>
          <w:w w:val="90"/>
        </w:rPr>
        <w:t>12.生态学信息</w:t>
      </w:r>
    </w:p>
    <w:p>
      <w:pPr>
        <w:pStyle w:val="3"/>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8"/>
        <w:ind w:left="0"/>
        <w:rPr>
          <w:sz w:val="5"/>
        </w:rPr>
      </w:pPr>
    </w:p>
    <w:p>
      <w:pPr>
        <w:pStyle w:val="3"/>
        <w:spacing w:before="1"/>
        <w:jc w:val="both"/>
      </w:pPr>
      <w:r>
        <w:t>13.废弃处置</w:t>
      </w:r>
    </w:p>
    <w:p>
      <w:pPr>
        <w:pStyle w:val="3"/>
        <w:jc w:val="both"/>
      </w:pPr>
      <w:r>
        <w:rPr>
          <w:w w:val="97"/>
        </w:rPr>
        <w:t xml:space="preserve"> </w:t>
      </w:r>
      <w:r>
        <w:t>13.1 残余废弃物处置方法：与易燃溶剂相溶或者相混合，在备有燃烧后处理和洗刷作用的化学焚化炉中燃烧</w:t>
      </w:r>
    </w:p>
    <w:p>
      <w:pPr>
        <w:pStyle w:val="3"/>
        <w:jc w:val="both"/>
      </w:pPr>
      <w:r>
        <w:rPr>
          <w:w w:val="95"/>
        </w:rPr>
        <w:t xml:space="preserve"> </w:t>
      </w:r>
      <w:r>
        <w:t>13.2 受污染的容器和包装：按未用产品处置</w:t>
      </w:r>
    </w:p>
    <w:p>
      <w:pPr>
        <w:pStyle w:val="3"/>
        <w:spacing w:before="40"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jc w:val="both"/>
      </w:pPr>
      <w:r>
        <w:rPr>
          <w:w w:val="98"/>
        </w:rPr>
        <w:t xml:space="preserve">  </w:t>
      </w:r>
      <w:r>
        <w:t>联合国危险性分类：NA</w:t>
      </w:r>
    </w:p>
    <w:p>
      <w:pPr>
        <w:pStyle w:val="3"/>
        <w:spacing w:before="40"/>
        <w:jc w:val="both"/>
      </w:pPr>
      <w:r>
        <w:rPr>
          <w:w w:val="92"/>
        </w:rPr>
        <w:t xml:space="preserve">  </w:t>
      </w:r>
      <w:r>
        <w:t>包装组：无资料</w:t>
      </w:r>
    </w:p>
    <w:p>
      <w:pPr>
        <w:pStyle w:val="3"/>
        <w:jc w:val="both"/>
      </w:pPr>
      <w:r>
        <w:rPr>
          <w:w w:val="93"/>
        </w:rPr>
        <w:t xml:space="preserve">  </w:t>
      </w:r>
      <w:r>
        <w:t>包装方法：无资料</w:t>
      </w:r>
    </w:p>
    <w:p>
      <w:pPr>
        <w:pStyle w:val="3"/>
        <w:jc w:val="both"/>
      </w:pPr>
      <w:r>
        <w:rPr>
          <w:w w:val="93"/>
        </w:rPr>
        <w:t xml:space="preserve">  </w:t>
      </w:r>
      <w:r>
        <w:t>海洋污染物（是/否）：否</w:t>
      </w:r>
    </w:p>
    <w:p>
      <w:pPr>
        <w:pStyle w:val="3"/>
        <w:spacing w:before="40"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spacing w:before="40"/>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011B1784"/>
    <w:rsid w:val="011B1784"/>
    <w:rsid w:val="1604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2023-11-02T09:39:00Z</dcterms:created>
  <dc:creator>刘文丹。</dc:creator>
  <cp:lastModifiedBy>刘文丹。</cp:lastModifiedBy>
  <dcterms:modified xsi:type="dcterms:W3CDTF">2023-11-02T09:40:05Z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EC3BC8FF6F624AA09340A48EC1457ADF_11</vt:lpwstr>
  </property>
</Properties>
</file>