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jc w:val="center"/>
        <w:rPr>
          <w:rFonts w:hint="eastAsia" w:eastAsia="宋体"/>
          <w:sz w:val="21"/>
          <w:szCs w:val="21"/>
          <w:lang w:eastAsia="zh-CN"/>
        </w:rPr>
      </w:pPr>
      <w:bookmarkStart w:id="0" w:name="_GoBack"/>
      <w:r>
        <w:rPr>
          <w:sz w:val="21"/>
          <w:szCs w:val="21"/>
        </w:rPr>
        <w:t>硫酸镁，七水</w:t>
      </w:r>
      <w:r>
        <w:rPr>
          <w:rFonts w:hint="eastAsia"/>
          <w:sz w:val="21"/>
          <w:szCs w:val="21"/>
          <w:lang w:eastAsia="zh-CN"/>
        </w:rPr>
        <w:t>说明书</w:t>
      </w:r>
    </w:p>
    <w:bookmarkEnd w:id="0"/>
    <w:p>
      <w:pPr>
        <w:pStyle w:val="3"/>
        <w:spacing w:before="0"/>
      </w:pPr>
      <w:r>
        <w:t>1.化学品及企业标识</w:t>
      </w:r>
    </w:p>
    <w:p>
      <w:pPr>
        <w:pStyle w:val="3"/>
      </w:pPr>
      <w:r>
        <w:t>中文名：硫酸镁，七水</w:t>
      </w:r>
    </w:p>
    <w:p>
      <w:pPr>
        <w:pStyle w:val="3"/>
        <w:spacing w:before="40" w:line="280" w:lineRule="auto"/>
        <w:ind w:right="7522"/>
      </w:pPr>
      <w:r>
        <w:rPr>
          <w:w w:val="90"/>
        </w:rPr>
        <w:t xml:space="preserve">英文名：Magnesium sulfate </w:t>
      </w:r>
      <w:r>
        <w:rPr>
          <w:spacing w:val="-2"/>
          <w:w w:val="90"/>
        </w:rPr>
        <w:t xml:space="preserve">heptahydrate </w:t>
      </w:r>
      <w:r>
        <w:t>中文别名：硫酸镁，七水；硫苦</w:t>
      </w:r>
    </w:p>
    <w:p>
      <w:pPr>
        <w:pStyle w:val="3"/>
        <w:spacing w:before="0"/>
      </w:pPr>
      <w:r>
        <w:t>英文别名：Magnesium sulfate heptahydrate</w:t>
      </w:r>
    </w:p>
    <w:p>
      <w:pPr>
        <w:pStyle w:val="3"/>
        <w:spacing w:before="40"/>
      </w:pPr>
      <w:r>
        <w:t>推荐用途：实验室用化验、试验及科学实验。</w:t>
      </w:r>
    </w:p>
    <w:p>
      <w:pPr>
        <w:pStyle w:val="3"/>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CSDS10034-99-8 硫酸镁，七水</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line="280" w:lineRule="auto"/>
        <w:ind w:right="214"/>
      </w:pPr>
      <w:r>
        <w:rPr>
          <w:w w:val="98"/>
        </w:rPr>
        <w:t xml:space="preserve"> </w:t>
      </w:r>
      <w:r>
        <w:rPr>
          <w:w w:val="95"/>
        </w:rPr>
        <w:t>2.1   紧急情况概述：白色结晶粉末过量接触需采取特殊急救措施和进行医疗随访。本品不燃。根据着火原因选择适当灭火剂灭火。如</w:t>
      </w:r>
      <w:r>
        <w:t>必要的话,戴自给式呼吸器去救火。</w:t>
      </w:r>
    </w:p>
    <w:p>
      <w:pPr>
        <w:pStyle w:val="3"/>
        <w:spacing w:before="0"/>
      </w:pPr>
      <w:r>
        <w:rPr>
          <w:w w:val="100"/>
        </w:rPr>
        <w:t xml:space="preserve"> </w:t>
      </w:r>
      <w:r>
        <w:t>2.2 GHS危险性分类：根据化学品全球统一分类与标签制度（GHS）的规定，不是危险物质或混合物。</w:t>
      </w:r>
    </w:p>
    <w:p>
      <w:pPr>
        <w:pStyle w:val="3"/>
      </w:pPr>
      <w:r>
        <w:rPr>
          <w:w w:val="97"/>
        </w:rPr>
        <w:t xml:space="preserve"> </w:t>
      </w:r>
      <w:r>
        <w:t>2.3 GHS标记要素，包括预防性的陈述：</w:t>
      </w:r>
    </w:p>
    <w:p>
      <w:pPr>
        <w:pStyle w:val="3"/>
        <w:spacing w:before="40"/>
      </w:pPr>
      <w:r>
        <w:rPr>
          <w:w w:val="88"/>
        </w:rPr>
        <w:t xml:space="preserve"> </w:t>
      </w:r>
      <w:r>
        <w:t xml:space="preserve">警示词： </w:t>
      </w:r>
    </w:p>
    <w:p>
      <w:pPr>
        <w:pStyle w:val="3"/>
      </w:pPr>
      <w:r>
        <w:rPr>
          <w:w w:val="96"/>
        </w:rPr>
        <w:t xml:space="preserve"> </w:t>
      </w:r>
      <w:r>
        <w:rPr>
          <w:w w:val="95"/>
        </w:rPr>
        <w:t>危险信息：不适用</w:t>
      </w:r>
    </w:p>
    <w:p>
      <w:pPr>
        <w:pStyle w:val="3"/>
      </w:pPr>
      <w:r>
        <w:rPr>
          <w:w w:val="96"/>
        </w:rPr>
        <w:t xml:space="preserve"> </w:t>
      </w:r>
      <w:r>
        <w:rPr>
          <w:w w:val="95"/>
        </w:rPr>
        <w:t>预防措施：不适用</w:t>
      </w:r>
    </w:p>
    <w:p>
      <w:pPr>
        <w:pStyle w:val="3"/>
        <w:spacing w:before="40"/>
      </w:pPr>
      <w:r>
        <w:rPr>
          <w:w w:val="96"/>
        </w:rPr>
        <w:t xml:space="preserve"> </w:t>
      </w:r>
      <w:r>
        <w:rPr>
          <w:w w:val="95"/>
        </w:rPr>
        <w:t>事故响应：不适用</w:t>
      </w:r>
    </w:p>
    <w:p>
      <w:pPr>
        <w:pStyle w:val="3"/>
      </w:pPr>
      <w:r>
        <w:rPr>
          <w:w w:val="96"/>
        </w:rPr>
        <w:t xml:space="preserve"> </w:t>
      </w:r>
      <w:r>
        <w:rPr>
          <w:w w:val="95"/>
        </w:rPr>
        <w:t>安全存储：不适用</w:t>
      </w:r>
    </w:p>
    <w:p>
      <w:pPr>
        <w:pStyle w:val="3"/>
        <w:spacing w:before="40"/>
      </w:pPr>
      <w:r>
        <w:rPr>
          <w:w w:val="96"/>
        </w:rPr>
        <w:t xml:space="preserve"> </w:t>
      </w:r>
      <w:r>
        <w:rPr>
          <w:w w:val="95"/>
        </w:rPr>
        <w:t>废弃处置：不适用</w:t>
      </w:r>
    </w:p>
    <w:p>
      <w:pPr>
        <w:pStyle w:val="3"/>
      </w:pPr>
      <w:r>
        <w:rPr>
          <w:w w:val="94"/>
        </w:rPr>
        <w:t xml:space="preserve"> </w:t>
      </w:r>
      <w:r>
        <w:t>2.4 物理化学危险性信息：不适用</w:t>
      </w:r>
    </w:p>
    <w:p>
      <w:pPr>
        <w:pStyle w:val="3"/>
      </w:pPr>
      <w:r>
        <w:rPr>
          <w:w w:val="91"/>
        </w:rPr>
        <w:t xml:space="preserve"> </w:t>
      </w:r>
      <w:r>
        <w:rPr>
          <w:w w:val="90"/>
        </w:rPr>
        <w:t>2.5 健康危害：不适用</w:t>
      </w:r>
    </w:p>
    <w:p>
      <w:pPr>
        <w:pStyle w:val="3"/>
        <w:spacing w:before="40"/>
      </w:pPr>
      <w:r>
        <w:rPr>
          <w:w w:val="91"/>
        </w:rPr>
        <w:t xml:space="preserve"> </w:t>
      </w:r>
      <w:r>
        <w:rPr>
          <w:w w:val="90"/>
        </w:rP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主要成分：硫酸镁，七水</w:t>
      </w:r>
      <w:r>
        <w:tab/>
      </w:r>
      <w:r>
        <w:rPr>
          <w:w w:val="95"/>
        </w:rPr>
        <w:t>10034-99-8</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pPr>
      <w:r>
        <w:rPr>
          <w:w w:val="94"/>
        </w:rPr>
        <w:t xml:space="preserve">     </w:t>
      </w:r>
      <w:r>
        <w:t>吸入：如果吸入,请将患者移到新鲜空气处。如果停止了呼吸,给于人工呼吸。</w:t>
      </w:r>
    </w:p>
    <w:p>
      <w:pPr>
        <w:pStyle w:val="3"/>
        <w:spacing w:before="40"/>
      </w:pPr>
      <w:r>
        <w:rPr>
          <w:w w:val="93"/>
        </w:rPr>
        <w:t xml:space="preserve">     </w:t>
      </w:r>
      <w:r>
        <w:t>皮肤接触：用肥皂和大量的水冲洗。请教医生。</w:t>
      </w:r>
    </w:p>
    <w:p>
      <w:pPr>
        <w:pStyle w:val="3"/>
      </w:pPr>
      <w:r>
        <w:rPr>
          <w:w w:val="92"/>
        </w:rPr>
        <w:t xml:space="preserve">     </w:t>
      </w:r>
      <w:r>
        <w:t>眼睛接触：谨慎起见用水冲洗眼睛。</w:t>
      </w:r>
    </w:p>
    <w:p>
      <w:pPr>
        <w:pStyle w:val="3"/>
        <w:spacing w:before="40"/>
      </w:pPr>
      <w:r>
        <w:rPr>
          <w:w w:val="95"/>
        </w:rPr>
        <w:t xml:space="preserve">     </w:t>
      </w:r>
      <w:r>
        <w:t>食入：切勿给失去知觉者从嘴里喂食任何东西。用水漱口。请教医生。</w:t>
      </w:r>
    </w:p>
    <w:p>
      <w:pPr>
        <w:pStyle w:val="3"/>
      </w:pPr>
      <w:r>
        <w:rPr>
          <w:w w:val="97"/>
        </w:rPr>
        <w:t xml:space="preserve"> </w:t>
      </w:r>
      <w:r>
        <w:t>4.2 主要症状和影响，急性和迟发效应：据我们所知，此化学，物理和毒性性质尚未经完整的研究。</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7"/>
        </w:rPr>
        <w:t xml:space="preserve"> </w:t>
      </w:r>
      <w:r>
        <w:t>5.2 灭火方法或灭火剂：本品不燃。根据着火原因选择适当灭火剂灭火。</w:t>
      </w:r>
    </w:p>
    <w:p>
      <w:pPr>
        <w:pStyle w:val="3"/>
        <w:spacing w:before="40"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6.泄露应急措施</w:t>
      </w:r>
    </w:p>
    <w:p>
      <w:pPr>
        <w:spacing w:after="0"/>
        <w:sectPr>
          <w:pgSz w:w="11900" w:h="16840"/>
          <w:pgMar w:top="760" w:right="600" w:bottom="700" w:left="620" w:header="0" w:footer="509" w:gutter="0"/>
          <w:cols w:space="720" w:num="1"/>
        </w:sectPr>
      </w:pPr>
    </w:p>
    <w:p>
      <w:pPr>
        <w:pStyle w:val="3"/>
        <w:spacing w:before="50" w:line="280" w:lineRule="auto"/>
        <w:ind w:right="214"/>
      </w:pPr>
      <w:r>
        <w:rPr>
          <w:w w:val="98"/>
        </w:rPr>
        <w:t xml:space="preserve"> </w:t>
      </w:r>
      <w:r>
        <w:rPr>
          <w:w w:val="95"/>
        </w:rPr>
        <w:t>6.1   作业人员的防护措施、防护设备和应急处置程序：使用个人防护用品。避免吸入蒸气、烟雾或气体。保证充分的通风。移去所有</w:t>
      </w:r>
      <w:r>
        <w:t>火源。</w:t>
      </w:r>
    </w:p>
    <w:p>
      <w:pPr>
        <w:pStyle w:val="3"/>
        <w:spacing w:before="0"/>
      </w:pPr>
      <w:r>
        <w:rPr>
          <w:w w:val="98"/>
        </w:rPr>
        <w:t xml:space="preserve"> </w:t>
      </w:r>
      <w:r>
        <w:t>6.2 环境保护措施：如能确保安全，可采取措施防止进一步的泄漏或溢出。不要让产品进入下水道，一定要避免排放到周围环境中。</w:t>
      </w:r>
    </w:p>
    <w:p>
      <w:pPr>
        <w:pStyle w:val="3"/>
        <w:spacing w:line="220" w:lineRule="exact"/>
      </w:pPr>
      <w:r>
        <w:rPr>
          <w:w w:val="98"/>
        </w:rPr>
        <w:t xml:space="preserve"> </w:t>
      </w:r>
      <w:r>
        <w:t>6.3 泄露化学品的收容、清除方法及所使用的处置材料：扫掉和铲掉。存放在合适的封闭的处理容器内。</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0"/>
      </w:pPr>
      <w:r>
        <w:rPr>
          <w:w w:val="97"/>
        </w:rPr>
        <w:t xml:space="preserve"> </w:t>
      </w:r>
      <w:r>
        <w:t>7.2 安全储存注意事项：贮存在阴凉处。容器保持紧闭，储存在干燥通风处。</w:t>
      </w:r>
    </w:p>
    <w:p>
      <w:pPr>
        <w:pStyle w:val="3"/>
        <w:spacing w:before="4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8.接触控制/个体防护</w:t>
      </w:r>
    </w:p>
    <w:p>
      <w:pPr>
        <w:pStyle w:val="3"/>
      </w:pPr>
      <w:r>
        <w:rPr>
          <w:w w:val="93"/>
        </w:rPr>
        <w:t xml:space="preserve"> </w:t>
      </w:r>
      <w:r>
        <w:t>8.1 作业场所职业接触限值：</w:t>
      </w:r>
    </w:p>
    <w:p>
      <w:pPr>
        <w:pStyle w:val="3"/>
      </w:pPr>
      <w:r>
        <w:rPr>
          <w:w w:val="105"/>
        </w:rPr>
        <w:t xml:space="preserve"> MAC(mg/m3)：无资料</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spacing w:before="40"/>
      </w:pPr>
      <w:r>
        <w:rPr>
          <w:w w:val="94"/>
        </w:rPr>
        <w:t xml:space="preserve"> </w:t>
      </w:r>
      <w:r>
        <w:t>8.2 检测方法：火焰原子吸收光谱法。</w:t>
      </w:r>
    </w:p>
    <w:p>
      <w:pPr>
        <w:pStyle w:val="3"/>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8"/>
        </w:rPr>
        <w:t xml:space="preserve">     </w:t>
      </w:r>
      <w:r>
        <w:t>手防护：戴橡胶手套。</w:t>
      </w:r>
    </w:p>
    <w:p>
      <w:pPr>
        <w:pStyle w:val="3"/>
      </w:pPr>
      <w:r>
        <w:rPr>
          <w:w w:val="91"/>
        </w:rPr>
        <w:t xml:space="preserve">     </w:t>
      </w:r>
      <w:r>
        <w:t>眼睛防护：戴化学安全防护眼镜。</w:t>
      </w:r>
    </w:p>
    <w:p>
      <w:pPr>
        <w:pStyle w:val="3"/>
        <w:spacing w:before="40" w:line="280" w:lineRule="auto"/>
        <w:ind w:right="131"/>
      </w:pPr>
      <w:r>
        <w:rPr>
          <w:w w:val="97"/>
        </w:rPr>
        <w:t xml:space="preserve">     </w:t>
      </w:r>
      <w:r>
        <w:rPr>
          <w:spacing w:val="-1"/>
          <w:w w:val="95"/>
        </w:rPr>
        <w:t xml:space="preserve">皮肤和身体防护：根据危险物质的类型，浓度和量，以及特定的工作场所来选择人体保护措施。防护设备的类型必须根据特定工作  </w:t>
      </w:r>
      <w:r>
        <w:t>场所中的危险物的浓度和含量来选择。</w:t>
      </w:r>
    </w:p>
    <w:p>
      <w:pPr>
        <w:pStyle w:val="3"/>
        <w:spacing w:before="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spacing w:after="0"/>
        <w:sectPr>
          <w:pgSz w:w="11900" w:h="16840"/>
          <w:pgMar w:top="760" w:right="600" w:bottom="700" w:left="620" w:header="0" w:footer="509" w:gutter="0"/>
          <w:cols w:space="720" w:num="1"/>
        </w:sectPr>
      </w:pPr>
    </w:p>
    <w:p>
      <w:pPr>
        <w:pStyle w:val="3"/>
        <w:spacing w:before="48" w:line="205" w:lineRule="exact"/>
        <w:ind w:left="140"/>
      </w:pPr>
      <w:r>
        <w:t>外观与性状：无色针状或斜柱状结晶或白色结晶性粉末，无气味，味苦、咸</w:t>
      </w:r>
    </w:p>
    <w:p>
      <w:pPr>
        <w:pStyle w:val="3"/>
        <w:spacing w:before="0" w:line="205" w:lineRule="exact"/>
        <w:ind w:left="140"/>
      </w:pPr>
      <w:r>
        <w:t>，具风化性。</w:t>
      </w:r>
    </w:p>
    <w:p>
      <w:pPr>
        <w:pStyle w:val="3"/>
        <w:spacing w:before="48"/>
        <w:ind w:left="140"/>
      </w:pPr>
      <w:r>
        <w:br w:type="column"/>
      </w:r>
      <w:r>
        <w:t>气味：无气味</w:t>
      </w:r>
    </w:p>
    <w:p>
      <w:pPr>
        <w:spacing w:after="0"/>
        <w:sectPr>
          <w:type w:val="continuous"/>
          <w:pgSz w:w="11900" w:h="16840"/>
          <w:pgMar w:top="1580" w:right="600" w:bottom="1180" w:left="620" w:header="720" w:footer="720" w:gutter="0"/>
          <w:cols w:equalWidth="0" w:num="2">
            <w:col w:w="6121" w:space="155"/>
            <w:col w:w="4404"/>
          </w:cols>
        </w:sectPr>
      </w:pPr>
    </w:p>
    <w:p>
      <w:pPr>
        <w:pStyle w:val="3"/>
        <w:tabs>
          <w:tab w:val="left" w:pos="6415"/>
        </w:tabs>
        <w:spacing w:before="8"/>
        <w:ind w:left="140"/>
      </w:pPr>
      <w:r>
        <w:t>气味阈值：无资料</w:t>
      </w:r>
      <w:r>
        <w:tab/>
      </w:r>
      <w:r>
        <w:t>pH：5-8(50g/L,H2O,25℃)</w:t>
      </w:r>
    </w:p>
    <w:p>
      <w:pPr>
        <w:pStyle w:val="3"/>
        <w:tabs>
          <w:tab w:val="left" w:pos="6415"/>
        </w:tabs>
        <w:spacing w:before="8"/>
        <w:ind w:left="140"/>
      </w:pPr>
      <w:r>
        <w:t>熔点/凝固点(℃)：无资料</w:t>
      </w:r>
      <w:r>
        <w:tab/>
      </w:r>
      <w:r>
        <w:t>沸点、初沸点、沸程(℃)：无资料</w:t>
      </w:r>
    </w:p>
    <w:p>
      <w:pPr>
        <w:pStyle w:val="3"/>
        <w:tabs>
          <w:tab w:val="left" w:pos="6415"/>
        </w:tabs>
        <w:spacing w:before="7"/>
        <w:ind w:left="140"/>
      </w:pPr>
      <w:r>
        <w:rPr>
          <w:w w:val="95"/>
        </w:rPr>
        <w:t>密度/相对密度(水=1)：ρ(20)1.68g/mL</w:t>
      </w:r>
      <w:r>
        <w:rPr>
          <w:w w:val="95"/>
        </w:rP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t>闪点(℃)：NA</w:t>
      </w:r>
    </w:p>
    <w:p>
      <w:pPr>
        <w:pStyle w:val="3"/>
        <w:tabs>
          <w:tab w:val="left" w:pos="6415"/>
        </w:tabs>
        <w:spacing w:before="7"/>
        <w:ind w:left="140"/>
      </w:pPr>
      <w:r>
        <w:t>自燃温度(℃)：无资料</w:t>
      </w:r>
      <w:r>
        <w:tab/>
      </w:r>
      <w:r>
        <w:t>爆炸上限%（V/V）：无资料</w:t>
      </w:r>
    </w:p>
    <w:p>
      <w:pPr>
        <w:pStyle w:val="3"/>
        <w:tabs>
          <w:tab w:val="left" w:pos="6415"/>
        </w:tabs>
        <w:spacing w:before="8"/>
        <w:ind w:left="140"/>
      </w:pPr>
      <w:r>
        <w:t>溶解性：易溶于水，微溶于乙醇和甘油。</w:t>
      </w:r>
      <w:r>
        <w:tab/>
      </w:r>
      <w:r>
        <w:t>爆炸下限%（V/V）：无资料</w:t>
      </w:r>
    </w:p>
    <w:p>
      <w:pPr>
        <w:pStyle w:val="3"/>
        <w:tabs>
          <w:tab w:val="left" w:pos="6415"/>
        </w:tabs>
        <w:spacing w:before="8"/>
        <w:ind w:left="140"/>
      </w:pPr>
      <w:r>
        <w:t>易燃性（固体、气体）：无资料</w:t>
      </w:r>
      <w:r>
        <w:tab/>
      </w:r>
      <w:r>
        <w:t>蒸发速率：无资料</w:t>
      </w:r>
    </w:p>
    <w:p>
      <w:pPr>
        <w:pStyle w:val="3"/>
        <w:spacing w:before="169"/>
      </w:pPr>
      <w:r>
        <w:rPr>
          <w:w w:val="95"/>
        </w:rPr>
        <w:t>10.稳定性和反应性</w:t>
      </w:r>
    </w:p>
    <w:p>
      <w:pPr>
        <w:pStyle w:val="3"/>
        <w:spacing w:before="40"/>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pPr>
      <w:r>
        <w:rPr>
          <w:w w:val="92"/>
        </w:rPr>
        <w:t xml:space="preserve"> </w:t>
      </w:r>
      <w:r>
        <w:t>10.3 应避免的条件：无资料</w:t>
      </w:r>
    </w:p>
    <w:p>
      <w:pPr>
        <w:pStyle w:val="3"/>
        <w:spacing w:before="40"/>
      </w:pPr>
      <w:r>
        <w:rPr>
          <w:w w:val="93"/>
        </w:rPr>
        <w:t xml:space="preserve"> </w:t>
      </w:r>
      <w:r>
        <w:rPr>
          <w:w w:val="95"/>
        </w:rPr>
        <w:t>10.4</w:t>
      </w:r>
      <w:r>
        <w:rPr>
          <w:spacing w:val="-7"/>
          <w:w w:val="95"/>
        </w:rPr>
        <w:t xml:space="preserve"> 不相容物质：强氧化物。</w:t>
      </w:r>
    </w:p>
    <w:p>
      <w:pPr>
        <w:pStyle w:val="3"/>
        <w:spacing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spacing w:before="40"/>
      </w:pPr>
      <w:r>
        <w:rPr>
          <w:w w:val="92"/>
        </w:rPr>
        <w:t xml:space="preserve"> </w:t>
      </w:r>
      <w:r>
        <w:t>11.1 急性毒性：小鼠皮下LD50(mg/kg):645</w:t>
      </w:r>
    </w:p>
    <w:p>
      <w:pPr>
        <w:pStyle w:val="3"/>
      </w:pPr>
      <w:r>
        <w:rPr>
          <w:w w:val="93"/>
        </w:rPr>
        <w:t xml:space="preserve"> </w:t>
      </w:r>
      <w:r>
        <w:rPr>
          <w:w w:val="95"/>
        </w:rPr>
        <w:t>11.2</w:t>
      </w:r>
      <w:r>
        <w:rPr>
          <w:spacing w:val="-7"/>
          <w:w w:val="95"/>
        </w:rPr>
        <w:t xml:space="preserve"> 皮肤刺激或腐蚀：无资料</w:t>
      </w:r>
    </w:p>
    <w:p>
      <w:pPr>
        <w:pStyle w:val="3"/>
      </w:pPr>
      <w:r>
        <w:rPr>
          <w:w w:val="93"/>
        </w:rPr>
        <w:t xml:space="preserve"> </w:t>
      </w:r>
      <w:r>
        <w:rPr>
          <w:w w:val="95"/>
        </w:rPr>
        <w:t>11.3</w:t>
      </w:r>
      <w:r>
        <w:rPr>
          <w:spacing w:val="-7"/>
          <w:w w:val="95"/>
        </w:rPr>
        <w:t xml:space="preserve"> 眼睛刺激和腐蚀：无资料</w:t>
      </w:r>
    </w:p>
    <w:p>
      <w:pPr>
        <w:pStyle w:val="3"/>
        <w:spacing w:before="40"/>
      </w:pPr>
      <w:r>
        <w:rPr>
          <w:w w:val="93"/>
        </w:rPr>
        <w:t xml:space="preserve"> </w:t>
      </w:r>
      <w:r>
        <w:rPr>
          <w:w w:val="95"/>
        </w:rPr>
        <w:t>11.4</w:t>
      </w:r>
      <w:r>
        <w:rPr>
          <w:spacing w:val="-7"/>
          <w:w w:val="95"/>
        </w:rPr>
        <w:t xml:space="preserve"> 呼吸或皮肤过敏：无资料</w:t>
      </w:r>
    </w:p>
    <w:p>
      <w:pPr>
        <w:pStyle w:val="3"/>
      </w:pPr>
      <w:r>
        <w:rPr>
          <w:w w:val="93"/>
        </w:rPr>
        <w:t xml:space="preserve"> </w:t>
      </w:r>
      <w:r>
        <w:rPr>
          <w:w w:val="95"/>
        </w:rPr>
        <w:t>11.5</w:t>
      </w:r>
      <w:r>
        <w:rPr>
          <w:spacing w:val="-7"/>
          <w:w w:val="95"/>
        </w:rPr>
        <w:t xml:space="preserve"> 生殖细胞突变性：无资料</w:t>
      </w:r>
    </w:p>
    <w:p>
      <w:pPr>
        <w:pStyle w:val="3"/>
        <w:spacing w:before="40"/>
      </w:pPr>
      <w:r>
        <w:rPr>
          <w:w w:val="99"/>
        </w:rPr>
        <w:t xml:space="preserve"> </w:t>
      </w:r>
      <w:r>
        <w:t>11.6 致癌性：IARC:此产品中没有大于或等于0。1%含量的组分被IARC鉴别为可能的或肯定的人类致癌物。</w:t>
      </w:r>
    </w:p>
    <w:p>
      <w:pPr>
        <w:pStyle w:val="3"/>
        <w:spacing w:line="280" w:lineRule="auto"/>
        <w:ind w:right="454"/>
      </w:pPr>
      <w:r>
        <w:rPr>
          <w:w w:val="97"/>
        </w:rPr>
        <w:t xml:space="preserve"> </w:t>
      </w:r>
      <w:r>
        <w:rPr>
          <w:w w:val="95"/>
        </w:rPr>
        <w:t>11.7 生殖毒性：大鼠孕后17-21天腹膜腔内给予最低中毒剂量(TDL0)750mg/kg，致肝胆管系统发育畸形。妇女静脉内最低中毒剂量</w:t>
      </w:r>
      <w:r>
        <w:t>(TDL0)：320mg/kg(孕39周)，对母体和胎儿有影响。</w:t>
      </w:r>
    </w:p>
    <w:p>
      <w:pPr>
        <w:pStyle w:val="3"/>
        <w:spacing w:before="0"/>
      </w:pPr>
      <w:r>
        <w:rPr>
          <w:w w:val="95"/>
        </w:rPr>
        <w:t xml:space="preserve"> </w:t>
      </w:r>
      <w:r>
        <w:t>11.8 特异性靶器官系统毒性（一次接触）：无资料</w:t>
      </w:r>
    </w:p>
    <w:p>
      <w:pPr>
        <w:spacing w:after="0"/>
        <w:sectPr>
          <w:type w:val="continuous"/>
          <w:pgSz w:w="11900" w:h="16840"/>
          <w:pgMar w:top="1580" w:right="600" w:bottom="1180" w:left="620" w:header="720" w:footer="720" w:gutter="0"/>
          <w:cols w:space="720" w:num="1"/>
        </w:sectPr>
      </w:pPr>
    </w:p>
    <w:p>
      <w:pPr>
        <w:pStyle w:val="3"/>
        <w:spacing w:before="50"/>
        <w:jc w:val="both"/>
      </w:pPr>
      <w:r>
        <w:rPr>
          <w:w w:val="95"/>
        </w:rPr>
        <w:t xml:space="preserve"> </w:t>
      </w:r>
      <w:r>
        <w:t>11.9 特异性靶器官系统毒性（反复接触）：无资料</w:t>
      </w:r>
    </w:p>
    <w:p>
      <w:pPr>
        <w:pStyle w:val="3"/>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spacing w:before="40"/>
        <w:jc w:val="both"/>
      </w:pPr>
      <w:r>
        <w:rPr>
          <w:w w:val="98"/>
        </w:rPr>
        <w:t xml:space="preserve"> </w:t>
      </w:r>
      <w:r>
        <w:t>吸入：吸入可能有害。可能引起呼吸道刺激。</w:t>
      </w:r>
    </w:p>
    <w:p>
      <w:pPr>
        <w:pStyle w:val="3"/>
        <w:jc w:val="both"/>
      </w:pPr>
      <w:r>
        <w:rPr>
          <w:w w:val="97"/>
        </w:rPr>
        <w:t xml:space="preserve"> </w:t>
      </w:r>
      <w:r>
        <w:t>摄入：如服入是有害的。</w:t>
      </w:r>
    </w:p>
    <w:p>
      <w:pPr>
        <w:pStyle w:val="3"/>
        <w:spacing w:before="40"/>
        <w:jc w:val="both"/>
      </w:pPr>
      <w:r>
        <w:rPr>
          <w:w w:val="98"/>
        </w:rPr>
        <w:t xml:space="preserve"> </w:t>
      </w:r>
      <w:r>
        <w:t>皮肤：如果通过皮肤吸收可能是有害的。可能引起皮肤刺激。</w:t>
      </w:r>
    </w:p>
    <w:p>
      <w:pPr>
        <w:pStyle w:val="3"/>
        <w:spacing w:line="220" w:lineRule="exact"/>
        <w:jc w:val="both"/>
      </w:pPr>
      <w:r>
        <w:rPr>
          <w:w w:val="97"/>
        </w:rPr>
        <w:t xml:space="preserve"> </w:t>
      </w:r>
      <w:r>
        <w:t>眼睛：可能引起眼睛刺激。</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12.生态学信息</w:t>
      </w:r>
    </w:p>
    <w:p>
      <w:pPr>
        <w:pStyle w:val="3"/>
        <w:jc w:val="both"/>
      </w:pPr>
      <w:r>
        <w:rPr>
          <w:w w:val="91"/>
        </w:rPr>
        <w:t xml:space="preserve"> </w:t>
      </w:r>
      <w:r>
        <w:t>12.1 生态毒性：无资料</w:t>
      </w:r>
    </w:p>
    <w:p>
      <w:pPr>
        <w:pStyle w:val="3"/>
        <w:spacing w:before="40"/>
        <w:jc w:val="both"/>
      </w:pPr>
      <w:r>
        <w:rPr>
          <w:w w:val="93"/>
        </w:rPr>
        <w:t xml:space="preserve"> </w:t>
      </w:r>
      <w:r>
        <w:t>12.2 持久性和降解性：无资料</w:t>
      </w:r>
    </w:p>
    <w:p>
      <w:pPr>
        <w:pStyle w:val="3"/>
        <w:jc w:val="both"/>
      </w:pPr>
      <w:r>
        <w:rPr>
          <w:w w:val="93"/>
        </w:rPr>
        <w:t xml:space="preserve"> </w:t>
      </w:r>
      <w:r>
        <w:t>12.3 潜在的生物累积性：无资料</w:t>
      </w:r>
    </w:p>
    <w:p>
      <w:pPr>
        <w:pStyle w:val="3"/>
        <w:spacing w:before="40"/>
        <w:jc w:val="both"/>
      </w:pPr>
      <w:r>
        <w:rPr>
          <w:w w:val="93"/>
        </w:rPr>
        <w:t xml:space="preserve"> </w:t>
      </w:r>
      <w:r>
        <w:t>12.4 土壤中的迁移性：无资料</w:t>
      </w:r>
    </w:p>
    <w:p>
      <w:pPr>
        <w:pStyle w:val="3"/>
        <w:spacing w:line="220" w:lineRule="exact"/>
        <w:jc w:val="both"/>
      </w:pPr>
      <w:r>
        <w:rPr>
          <w:w w:val="96"/>
        </w:rPr>
        <w:t xml:space="preserve"> </w:t>
      </w:r>
      <w:r>
        <w:t>12.5 其它不良影响：该物质对环境有危害，应特别注意对水体的污染。</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jc w:val="both"/>
      </w:pPr>
      <w:r>
        <w:rPr>
          <w:w w:val="97"/>
        </w:rPr>
        <w:t xml:space="preserve"> </w:t>
      </w:r>
      <w:r>
        <w:t>13.1 残余废弃物处置方法：用安全掩埋法处置。若可能，重复使用容器或在规定场所掩埋。</w:t>
      </w:r>
    </w:p>
    <w:p>
      <w:pPr>
        <w:pStyle w:val="3"/>
        <w:spacing w:before="4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spacing w:before="40"/>
        <w:jc w:val="both"/>
      </w:pPr>
      <w:r>
        <w:rPr>
          <w:w w:val="104"/>
        </w:rPr>
        <w:t xml:space="preserve">  </w:t>
      </w:r>
      <w:r>
        <w:rPr>
          <w:w w:val="105"/>
        </w:rPr>
        <w:t>危规号CN：NA</w:t>
      </w:r>
    </w:p>
    <w:p>
      <w:pPr>
        <w:pStyle w:val="3"/>
        <w:jc w:val="both"/>
      </w:pPr>
      <w:r>
        <w:rPr>
          <w:w w:val="98"/>
        </w:rPr>
        <w:t xml:space="preserve">  </w:t>
      </w:r>
      <w:r>
        <w:t>联合国危险货物编号：NA</w:t>
      </w:r>
    </w:p>
    <w:p>
      <w:pPr>
        <w:pStyle w:val="3"/>
        <w:jc w:val="both"/>
      </w:pPr>
      <w:r>
        <w:rPr>
          <w:w w:val="95"/>
        </w:rPr>
        <w:t xml:space="preserve">  </w:t>
      </w:r>
      <w:r>
        <w:t>联合国运输名称：非危险货物</w:t>
      </w:r>
    </w:p>
    <w:p>
      <w:pPr>
        <w:pStyle w:val="3"/>
        <w:spacing w:before="40"/>
        <w:jc w:val="both"/>
      </w:pPr>
      <w:r>
        <w:rPr>
          <w:w w:val="98"/>
        </w:rPr>
        <w:t xml:space="preserve">  </w:t>
      </w:r>
      <w:r>
        <w:t>联合国危险性分类：NA</w:t>
      </w:r>
    </w:p>
    <w:p>
      <w:pPr>
        <w:pStyle w:val="3"/>
        <w:jc w:val="both"/>
      </w:pPr>
      <w:r>
        <w:rPr>
          <w:w w:val="92"/>
        </w:rPr>
        <w:t xml:space="preserve">  </w:t>
      </w:r>
      <w:r>
        <w:t>包装组：无资料</w:t>
      </w:r>
    </w:p>
    <w:p>
      <w:pPr>
        <w:pStyle w:val="3"/>
        <w:jc w:val="both"/>
      </w:pPr>
      <w:r>
        <w:rPr>
          <w:w w:val="93"/>
        </w:rPr>
        <w:t xml:space="preserve">  </w:t>
      </w:r>
      <w:r>
        <w:t>包装方法：无资料</w:t>
      </w:r>
    </w:p>
    <w:p>
      <w:pPr>
        <w:pStyle w:val="3"/>
        <w:spacing w:before="40"/>
        <w:jc w:val="both"/>
      </w:pPr>
      <w:r>
        <w:rPr>
          <w:w w:val="93"/>
        </w:rPr>
        <w:t xml:space="preserve">  </w:t>
      </w:r>
      <w:r>
        <w:t>海洋污染物（是/否）：否</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spacing w:before="40"/>
        <w:jc w:val="both"/>
      </w:pPr>
      <w:r>
        <w:t>下列法律法规和标准，对化学品的安全使用、储存、运输、装卸、分类和标志等方面均作了相应的规定：</w:t>
      </w:r>
    </w:p>
    <w:p>
      <w:pPr>
        <w:pStyle w:val="3"/>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1"/>
        <w:jc w:val="both"/>
      </w:pPr>
      <w:r>
        <w:t>16.其他信息</w:t>
      </w:r>
    </w:p>
    <w:p>
      <w:pPr>
        <w:pStyle w:val="3"/>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1"/>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4F923255"/>
    <w:rsid w:val="16047413"/>
    <w:rsid w:val="4F92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semiHidden/>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2023-11-02T09:05:00Z</dcterms:created>
  <dc:creator>刘文丹。</dc:creator>
  <cp:lastModifiedBy>刘文丹。</cp:lastModifiedBy>
  <dcterms:modified xsi:type="dcterms:W3CDTF">2023-11-02T09:06:00Z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F4ECCABCC3A44AE6A3D3FB1E35A703EB_11</vt:lpwstr>
  </property>
</Properties>
</file>