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lang w:eastAsia="zh-CN"/>
        </w:rPr>
      </w:pPr>
      <w:r>
        <w:t>氯化锂</w:t>
      </w:r>
      <w:r>
        <w:rPr>
          <w:rFonts w:hint="eastAsia"/>
          <w:lang w:eastAsia="zh-CN"/>
        </w:rPr>
        <w:t>说明书</w:t>
      </w:r>
      <w:bookmarkStart w:id="0" w:name="_GoBack"/>
      <w:bookmarkEnd w:id="0"/>
    </w:p>
    <w:p>
      <w:pPr>
        <w:pStyle w:val="3"/>
        <w:spacing w:before="0" w:line="280" w:lineRule="auto"/>
        <w:ind w:right="9013"/>
      </w:pPr>
      <w:r>
        <w:rPr>
          <w:w w:val="95"/>
        </w:rPr>
        <w:t>1.化学品及企业标识</w:t>
      </w:r>
      <w:r>
        <w:t>中文名：氯化锂</w:t>
      </w:r>
    </w:p>
    <w:p>
      <w:pPr>
        <w:pStyle w:val="3"/>
        <w:spacing w:before="0" w:line="280" w:lineRule="auto"/>
        <w:ind w:right="8618"/>
      </w:pPr>
      <w:r>
        <w:rPr>
          <w:w w:val="90"/>
        </w:rPr>
        <w:t xml:space="preserve">英文名：Lithium chloride </w:t>
      </w:r>
      <w:r>
        <w:t>中文别名：氯化锂</w:t>
      </w:r>
    </w:p>
    <w:p>
      <w:pPr>
        <w:pStyle w:val="3"/>
        <w:spacing w:before="1" w:line="280" w:lineRule="auto"/>
        <w:ind w:right="6785"/>
      </w:pPr>
      <w:r>
        <w:rPr>
          <w:w w:val="90"/>
        </w:rPr>
        <w:t xml:space="preserve">英文别名：Lithium chloride;Lithium </w:t>
      </w:r>
      <w:r>
        <w:rPr>
          <w:spacing w:val="-2"/>
          <w:w w:val="90"/>
        </w:rPr>
        <w:t xml:space="preserve">monochloride </w:t>
      </w:r>
      <w:r>
        <w:t>推荐用途：实验室用化验、试验及科学实验。</w:t>
      </w:r>
    </w:p>
    <w:p>
      <w:pPr>
        <w:pStyle w:val="3"/>
        <w:spacing w:before="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spacing w:before="40"/>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CSDS7447-41-8 氯化锂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line="280" w:lineRule="auto"/>
        <w:ind w:right="214"/>
      </w:pPr>
      <w:r>
        <w:rPr>
          <w:w w:val="98"/>
        </w:rPr>
        <w:t xml:space="preserve"> </w:t>
      </w:r>
      <w:r>
        <w:rPr>
          <w:w w:val="95"/>
        </w:rPr>
        <w:t>2.1   紧急情况概述：无色立方结晶或粉末，具潮解性。吞咽有害。造成皮肤刺激。造成严重眼刺激。过量接触需采取特殊急救措施和</w:t>
      </w:r>
      <w:r>
        <w:t>进行医疗随访。用水雾,耐醇泡沫,干粉或二氧化碳灭火。如必要的话,戴自给式呼吸器去救火。</w:t>
      </w:r>
    </w:p>
    <w:p>
      <w:pPr>
        <w:pStyle w:val="3"/>
        <w:spacing w:before="0"/>
      </w:pPr>
      <w:r>
        <w:rPr>
          <w:w w:val="98"/>
        </w:rPr>
        <w:t xml:space="preserve"> </w:t>
      </w:r>
      <w:r>
        <w:t>2.2 GHS危险性分类：急性毒性,经口（类别4）皮肤腐蚀/刺激（类别2）严重眼睛损伤/眼睛刺激性（类别2A）</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10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8"/>
        </w:rPr>
        <w:t xml:space="preserve"> </w:t>
      </w:r>
      <w:r>
        <w:t>危险信息：吞咽有害。造成皮肤刺激。造成严重眼刺激。</w:t>
      </w:r>
    </w:p>
    <w:p>
      <w:pPr>
        <w:pStyle w:val="3"/>
      </w:pPr>
      <w:r>
        <w:rPr>
          <w:w w:val="98"/>
        </w:rPr>
        <w:t xml:space="preserve"> </w:t>
      </w:r>
      <w:r>
        <w:t>预防措施：作业后彻底清洗皮肤。使用本产品时不要进食、饮水或吸烟。戴防护手套/戴防护眼罩/戴防护面具。</w:t>
      </w:r>
    </w:p>
    <w:p>
      <w:pPr>
        <w:pStyle w:val="3"/>
        <w:spacing w:before="40" w:line="280" w:lineRule="auto"/>
        <w:ind w:right="197"/>
        <w:jc w:val="both"/>
      </w:pPr>
      <w:r>
        <w:rPr>
          <w:w w:val="99"/>
        </w:rPr>
        <w:t xml:space="preserve"> </w:t>
      </w:r>
      <w:r>
        <w:rPr>
          <w:w w:val="95"/>
        </w:rPr>
        <w:t>事故响应：如果吞咽并觉不适:立即呼叫解毒中心或就医。漱口。如皮肤沾染：用水充分清洗。如进入眼睛：用水小心冲洗几分钟。    如戴隐形眼镜并可方便地取出，取出隐形眼镜。继续冲洗。如发生皮肤刺激：求医/就诊。如仍觉眼刺激：求医/</w:t>
      </w:r>
      <w:r>
        <w:rPr>
          <w:spacing w:val="-2"/>
          <w:w w:val="95"/>
        </w:rPr>
        <w:t xml:space="preserve">就诊。脱掉所有沾染     </w:t>
      </w:r>
      <w:r>
        <w:t>的衣服，清洗后方可重新使用。</w:t>
      </w:r>
    </w:p>
    <w:p>
      <w:pPr>
        <w:pStyle w:val="3"/>
        <w:spacing w:before="0"/>
      </w:pPr>
      <w:r>
        <w:rPr>
          <w:w w:val="96"/>
        </w:rPr>
        <w:t xml:space="preserve"> </w:t>
      </w:r>
      <w:r>
        <w:t>安全存储：不适用</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pPr>
      <w:r>
        <w:rPr>
          <w:w w:val="96"/>
        </w:rPr>
        <w:t xml:space="preserve"> </w:t>
      </w:r>
      <w:r>
        <w:t>2.5 健康危害：吞咽有害。造成皮肤刺激。造成严重眼刺激。</w:t>
      </w:r>
    </w:p>
    <w:p>
      <w:pPr>
        <w:pStyle w:val="3"/>
        <w:spacing w:before="40"/>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7"/>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主要成分：氯化锂，无水</w:t>
      </w:r>
      <w:r>
        <w:tab/>
      </w:r>
      <w:r>
        <w:rPr>
          <w:w w:val="95"/>
        </w:rPr>
        <w:t>7447-41-8</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spacing w:after="0"/>
        <w:sectPr>
          <w:pgSz w:w="11900" w:h="16840"/>
          <w:pgMar w:top="760" w:right="600" w:bottom="700" w:left="620" w:header="0" w:footer="509" w:gutter="0"/>
          <w:cols w:space="720" w:num="1"/>
        </w:sectPr>
      </w:pPr>
    </w:p>
    <w:p>
      <w:pPr>
        <w:pStyle w:val="3"/>
        <w:spacing w:before="50"/>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1"/>
      </w:pPr>
      <w:r>
        <w:rPr>
          <w:w w:val="97"/>
        </w:rPr>
        <w:t xml:space="preserve"> </w:t>
      </w:r>
      <w:r>
        <w:t>7.2 安全储存注意事项：贮存在阴凉处。容器保持紧闭，储存在干燥通风处。</w:t>
      </w:r>
    </w:p>
    <w:p>
      <w:pPr>
        <w:pStyle w:val="3"/>
        <w:spacing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手防护：戴防化学品手套。</w:t>
      </w:r>
    </w:p>
    <w:p>
      <w:pPr>
        <w:pStyle w:val="3"/>
      </w:pPr>
      <w:r>
        <w:rPr>
          <w:w w:val="91"/>
        </w:rPr>
        <w:t xml:space="preserve">     </w:t>
      </w:r>
      <w:r>
        <w:t>眼睛防护：戴化学安全防护眼镜。</w:t>
      </w:r>
    </w:p>
    <w:p>
      <w:pPr>
        <w:pStyle w:val="3"/>
      </w:pPr>
      <w:r>
        <w:rPr>
          <w:w w:val="92"/>
        </w:rPr>
        <w:t xml:space="preserve">     </w:t>
      </w:r>
      <w:r>
        <w:t>皮肤和身体防护：穿化学品防护服。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外观与性状：无色立方结晶或粉末，具潮解性。</w:t>
      </w:r>
      <w:r>
        <w:tab/>
      </w:r>
      <w:r>
        <w:t>气味：无资料</w:t>
      </w:r>
    </w:p>
    <w:p>
      <w:pPr>
        <w:pStyle w:val="3"/>
        <w:tabs>
          <w:tab w:val="left" w:pos="6415"/>
        </w:tabs>
        <w:spacing w:before="7"/>
        <w:ind w:left="140"/>
      </w:pPr>
      <w:r>
        <w:t>气味阈值：无资料</w:t>
      </w:r>
      <w:r>
        <w:tab/>
      </w:r>
      <w:r>
        <w:t>pH：6(50g/L,H2O,20℃)</w:t>
      </w:r>
    </w:p>
    <w:p>
      <w:pPr>
        <w:pStyle w:val="3"/>
        <w:tabs>
          <w:tab w:val="left" w:pos="6415"/>
        </w:tabs>
        <w:spacing w:before="8"/>
        <w:ind w:left="140"/>
      </w:pPr>
      <w:r>
        <w:rPr>
          <w:w w:val="95"/>
        </w:rPr>
        <w:t>熔点/凝固点(℃)：614℃</w:t>
      </w:r>
      <w:r>
        <w:rPr>
          <w:w w:val="95"/>
        </w:rPr>
        <w:tab/>
      </w:r>
      <w:r>
        <w:t>沸点、初沸点、沸程(℃)：1360℃/760mmHg</w:t>
      </w:r>
    </w:p>
    <w:p>
      <w:pPr>
        <w:pStyle w:val="3"/>
        <w:tabs>
          <w:tab w:val="left" w:pos="6415"/>
        </w:tabs>
        <w:spacing w:before="8"/>
        <w:ind w:left="140"/>
      </w:pPr>
      <w:r>
        <w:rPr>
          <w:w w:val="95"/>
        </w:rPr>
        <w:t>密度/相对密度(水=1)：ρ(20)2.07g/mL</w:t>
      </w:r>
      <w:r>
        <w:rPr>
          <w:w w:val="95"/>
        </w:rP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t>闪点(℃)：NA</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溶解性：易溶于水，溶于乙醇、丙酮、氨水。</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pStyle w:val="3"/>
      </w:pPr>
      <w:r>
        <w:rPr>
          <w:w w:val="92"/>
        </w:rPr>
        <w:t xml:space="preserve"> </w:t>
      </w:r>
      <w:r>
        <w:t>10.3 应避免的条件：无资料</w:t>
      </w:r>
    </w:p>
    <w:p>
      <w:pPr>
        <w:pStyle w:val="3"/>
        <w:spacing w:before="40"/>
      </w:pPr>
      <w:r>
        <w:rPr>
          <w:w w:val="93"/>
        </w:rPr>
        <w:t xml:space="preserve"> </w:t>
      </w:r>
      <w:r>
        <w:rPr>
          <w:w w:val="95"/>
        </w:rPr>
        <w:t>10.4</w:t>
      </w:r>
      <w:r>
        <w:rPr>
          <w:spacing w:val="-7"/>
          <w:w w:val="95"/>
        </w:rPr>
        <w:t xml:space="preserve"> 不相容物质：强氧化物。</w:t>
      </w:r>
    </w:p>
    <w:p>
      <w:pPr>
        <w:pStyle w:val="3"/>
        <w:spacing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pPr>
      <w:r>
        <w:rPr>
          <w:w w:val="91"/>
        </w:rPr>
        <w:t xml:space="preserve"> </w:t>
      </w:r>
      <w:r>
        <w:t>11.1 急性毒性：无资料</w:t>
      </w:r>
    </w:p>
    <w:p>
      <w:pPr>
        <w:pStyle w:val="3"/>
        <w:spacing w:before="40"/>
      </w:pPr>
      <w:r>
        <w:rPr>
          <w:w w:val="93"/>
        </w:rPr>
        <w:t xml:space="preserve"> </w:t>
      </w:r>
      <w:r>
        <w:t>11.2 皮肤刺激或腐蚀：无资料</w:t>
      </w:r>
    </w:p>
    <w:p>
      <w:pPr>
        <w:spacing w:after="0"/>
        <w:sectPr>
          <w:pgSz w:w="11900" w:h="16840"/>
          <w:pgMar w:top="760" w:right="600" w:bottom="700" w:left="620" w:header="0" w:footer="509" w:gutter="0"/>
          <w:cols w:space="720" w:num="1"/>
        </w:sectPr>
      </w:pPr>
    </w:p>
    <w:p>
      <w:pPr>
        <w:pStyle w:val="3"/>
        <w:spacing w:before="50"/>
        <w:jc w:val="both"/>
      </w:pPr>
      <w:r>
        <w:rPr>
          <w:w w:val="93"/>
        </w:rPr>
        <w:t xml:space="preserve"> </w:t>
      </w:r>
      <w:r>
        <w:rPr>
          <w:w w:val="95"/>
        </w:rPr>
        <w:t>11.3</w:t>
      </w:r>
      <w:r>
        <w:rPr>
          <w:spacing w:val="-7"/>
          <w:w w:val="95"/>
        </w:rPr>
        <w:t xml:space="preserve"> 眼睛刺激和腐蚀：无资料</w:t>
      </w:r>
    </w:p>
    <w:p>
      <w:pPr>
        <w:pStyle w:val="3"/>
        <w:jc w:val="both"/>
      </w:pPr>
      <w:r>
        <w:rPr>
          <w:w w:val="93"/>
        </w:rPr>
        <w:t xml:space="preserve"> </w:t>
      </w:r>
      <w:r>
        <w:rPr>
          <w:w w:val="95"/>
        </w:rPr>
        <w:t>11.4</w:t>
      </w:r>
      <w:r>
        <w:rPr>
          <w:spacing w:val="-7"/>
          <w:w w:val="95"/>
        </w:rPr>
        <w:t xml:space="preserve"> 呼吸或皮肤过敏：无资料</w:t>
      </w:r>
    </w:p>
    <w:p>
      <w:pPr>
        <w:pStyle w:val="3"/>
        <w:jc w:val="both"/>
      </w:pPr>
      <w:r>
        <w:rPr>
          <w:w w:val="93"/>
        </w:rPr>
        <w:t xml:space="preserve"> </w:t>
      </w:r>
      <w:r>
        <w:rPr>
          <w:w w:val="95"/>
        </w:rPr>
        <w:t>11.5</w:t>
      </w:r>
      <w:r>
        <w:rPr>
          <w:spacing w:val="-7"/>
          <w:w w:val="95"/>
        </w:rPr>
        <w:t xml:space="preserve"> 生殖细胞突变性：无资料</w:t>
      </w:r>
    </w:p>
    <w:p>
      <w:pPr>
        <w:pStyle w:val="3"/>
        <w:spacing w:before="40"/>
        <w:jc w:val="both"/>
      </w:pPr>
      <w:r>
        <w:rPr>
          <w:w w:val="90"/>
        </w:rPr>
        <w:t xml:space="preserve"> </w:t>
      </w:r>
      <w:r>
        <w:t>11.6 致癌性：无资料</w:t>
      </w:r>
    </w:p>
    <w:p>
      <w:pPr>
        <w:pStyle w:val="3"/>
        <w:jc w:val="both"/>
      </w:pPr>
      <w:r>
        <w:rPr>
          <w:w w:val="91"/>
        </w:rPr>
        <w:t xml:space="preserve"> </w:t>
      </w:r>
      <w:r>
        <w:t>11.7 生殖毒性：无资料</w:t>
      </w:r>
    </w:p>
    <w:p>
      <w:pPr>
        <w:pStyle w:val="3"/>
        <w:spacing w:before="40"/>
        <w:jc w:val="both"/>
      </w:pPr>
      <w:r>
        <w:rPr>
          <w:w w:val="95"/>
        </w:rPr>
        <w:t xml:space="preserve"> 11.8 特异性靶器官系统毒性（一次接触）：无资料</w:t>
      </w:r>
    </w:p>
    <w:p>
      <w:pPr>
        <w:pStyle w:val="3"/>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spacing w:before="40"/>
        <w:jc w:val="both"/>
      </w:pPr>
      <w:r>
        <w:rPr>
          <w:w w:val="91"/>
        </w:rPr>
        <w:t xml:space="preserve"> </w:t>
      </w:r>
      <w:r>
        <w:rPr>
          <w:w w:val="90"/>
        </w:rPr>
        <w:t>11.11 潜在的健康危险：</w:t>
      </w:r>
    </w:p>
    <w:p>
      <w:pPr>
        <w:pStyle w:val="3"/>
        <w:jc w:val="both"/>
      </w:pPr>
      <w:r>
        <w:rPr>
          <w:w w:val="95"/>
        </w:rPr>
        <w:t xml:space="preserve"> 吸入：无资料</w:t>
      </w:r>
    </w:p>
    <w:p>
      <w:pPr>
        <w:pStyle w:val="3"/>
        <w:jc w:val="both"/>
      </w:pPr>
      <w:r>
        <w:rPr>
          <w:w w:val="95"/>
        </w:rPr>
        <w:t xml:space="preserve"> 摄入：无资料</w:t>
      </w:r>
    </w:p>
    <w:p>
      <w:pPr>
        <w:pStyle w:val="3"/>
        <w:spacing w:before="40"/>
        <w:jc w:val="both"/>
      </w:pPr>
      <w:r>
        <w:rPr>
          <w:w w:val="95"/>
        </w:rPr>
        <w:t xml:space="preserve"> 皮肤：无资料</w:t>
      </w:r>
    </w:p>
    <w:p>
      <w:pPr>
        <w:pStyle w:val="3"/>
        <w:spacing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rPr>
          <w:w w:val="90"/>
        </w:rPr>
        <w:t>12.生态学信息</w:t>
      </w:r>
    </w:p>
    <w:p>
      <w:pPr>
        <w:pStyle w:val="3"/>
        <w:spacing w:before="40"/>
        <w:jc w:val="both"/>
      </w:pPr>
      <w:r>
        <w:rPr>
          <w:w w:val="91"/>
        </w:rPr>
        <w:t xml:space="preserve"> </w:t>
      </w:r>
      <w:r>
        <w:t>12.1 生态毒性：无资料</w:t>
      </w:r>
    </w:p>
    <w:p>
      <w:pPr>
        <w:pStyle w:val="3"/>
        <w:jc w:val="both"/>
      </w:pPr>
      <w:r>
        <w:rPr>
          <w:w w:val="93"/>
        </w:rPr>
        <w:t xml:space="preserve"> </w:t>
      </w:r>
      <w:r>
        <w:t>12.2 持久性和降解性：无资料</w:t>
      </w:r>
    </w:p>
    <w:p>
      <w:pPr>
        <w:pStyle w:val="3"/>
        <w:jc w:val="both"/>
      </w:pPr>
      <w:r>
        <w:rPr>
          <w:w w:val="93"/>
        </w:rPr>
        <w:t xml:space="preserve"> </w:t>
      </w:r>
      <w:r>
        <w:t>12.3 潜在的生物累积性：无资料</w:t>
      </w:r>
    </w:p>
    <w:p>
      <w:pPr>
        <w:pStyle w:val="3"/>
        <w:spacing w:before="40"/>
        <w:jc w:val="both"/>
      </w:pPr>
      <w:r>
        <w:rPr>
          <w:w w:val="93"/>
        </w:rPr>
        <w:t xml:space="preserve"> </w:t>
      </w:r>
      <w:r>
        <w:t>12.4 土壤中的迁移性：无资料</w:t>
      </w:r>
    </w:p>
    <w:p>
      <w:pPr>
        <w:pStyle w:val="3"/>
        <w:spacing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spacing w:before="40"/>
        <w:jc w:val="both"/>
      </w:pPr>
      <w:r>
        <w:rPr>
          <w:w w:val="96"/>
        </w:rPr>
        <w:t xml:space="preserve"> </w:t>
      </w:r>
      <w:r>
        <w:t>13.1 残余废弃物处置方法：将剩余的和未回收的溶液交给处理公司。</w:t>
      </w:r>
    </w:p>
    <w:p>
      <w:pPr>
        <w:pStyle w:val="3"/>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spacing w:before="40"/>
        <w:jc w:val="both"/>
      </w:pPr>
      <w:r>
        <w:rPr>
          <w:w w:val="104"/>
        </w:rPr>
        <w:t xml:space="preserve">  </w:t>
      </w:r>
      <w:r>
        <w:rPr>
          <w:w w:val="105"/>
        </w:rPr>
        <w:t>危规号CN：NA</w:t>
      </w:r>
    </w:p>
    <w:p>
      <w:pPr>
        <w:pStyle w:val="3"/>
        <w:jc w:val="both"/>
      </w:pPr>
      <w:r>
        <w:rPr>
          <w:w w:val="98"/>
        </w:rPr>
        <w:t xml:space="preserve">  </w:t>
      </w:r>
      <w:r>
        <w:t>联合国危险货物编号：NA</w:t>
      </w:r>
    </w:p>
    <w:p>
      <w:pPr>
        <w:pStyle w:val="3"/>
        <w:spacing w:before="40"/>
        <w:jc w:val="both"/>
      </w:pPr>
      <w:r>
        <w:rPr>
          <w:w w:val="95"/>
        </w:rPr>
        <w:t xml:space="preserve">  </w:t>
      </w:r>
      <w:r>
        <w:t>联合国运输名称：非危险货物</w:t>
      </w:r>
    </w:p>
    <w:p>
      <w:pPr>
        <w:pStyle w:val="3"/>
        <w:jc w:val="both"/>
      </w:pPr>
      <w:r>
        <w:rPr>
          <w:w w:val="98"/>
        </w:rPr>
        <w:t xml:space="preserve">  </w:t>
      </w:r>
      <w:r>
        <w:t>联合国危险性分类：NA</w:t>
      </w:r>
    </w:p>
    <w:p>
      <w:pPr>
        <w:pStyle w:val="3"/>
        <w:jc w:val="both"/>
      </w:pPr>
      <w:r>
        <w:rPr>
          <w:w w:val="92"/>
        </w:rPr>
        <w:t xml:space="preserve">  </w:t>
      </w:r>
      <w:r>
        <w:t>包装组：无资料</w:t>
      </w:r>
    </w:p>
    <w:p>
      <w:pPr>
        <w:pStyle w:val="3"/>
        <w:spacing w:before="40"/>
        <w:jc w:val="both"/>
      </w:pPr>
      <w:r>
        <w:rPr>
          <w:w w:val="93"/>
        </w:rPr>
        <w:t xml:space="preserve">  </w:t>
      </w:r>
      <w:r>
        <w:t>包装方法：无资料</w:t>
      </w:r>
    </w:p>
    <w:p>
      <w:pPr>
        <w:pStyle w:val="3"/>
        <w:jc w:val="both"/>
      </w:pPr>
      <w:r>
        <w:rPr>
          <w:w w:val="93"/>
        </w:rPr>
        <w:t xml:space="preserve">  </w:t>
      </w:r>
      <w:r>
        <w:t>海洋污染物（是/否）：否</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spacing w:before="40"/>
        <w:jc w:val="both"/>
      </w:pPr>
      <w:r>
        <w:t>下列法律法规和标准，对化学品的安全使用、储存、运输、装卸、分类和标志等方面均作了相应的规定：</w:t>
      </w:r>
    </w:p>
    <w:p>
      <w:pPr>
        <w:pStyle w:val="3"/>
        <w:jc w:val="both"/>
      </w:pPr>
      <w:r>
        <w:rPr>
          <w:w w:val="88"/>
        </w:rPr>
        <w:t xml:space="preserve">        </w:t>
      </w:r>
      <w:r>
        <w:t>《危险化学品名录》（2015版）：未列入</w:t>
      </w:r>
    </w:p>
    <w:p>
      <w:pPr>
        <w:pStyle w:val="3"/>
        <w:spacing w:before="40"/>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before="40"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3C430FAB"/>
    <w:rsid w:val="16047413"/>
    <w:rsid w:val="3C43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2023-11-02T09:01:00Z</dcterms:created>
  <dc:creator>刘文丹。</dc:creator>
  <cp:lastModifiedBy>刘文丹。</cp:lastModifiedBy>
  <dcterms:modified xsi:type="dcterms:W3CDTF">2023-11-02T09:02:27Z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02F3219BDA2949E6A416344ED27DD365_11</vt:lpwstr>
  </property>
</Properties>
</file>