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center"/>
        <w:rPr>
          <w:rFonts w:hint="eastAsia" w:eastAsia="宋体"/>
          <w:lang w:eastAsia="zh-CN"/>
        </w:rPr>
      </w:pPr>
      <w:bookmarkStart w:id="0" w:name="_GoBack"/>
      <w:r>
        <w:t>十六烷基三甲基溴化铵</w:t>
      </w:r>
      <w:r>
        <w:rPr>
          <w:rFonts w:hint="eastAsia"/>
          <w:lang w:eastAsia="zh-CN"/>
        </w:rPr>
        <w:t>说明书</w:t>
      </w:r>
    </w:p>
    <w:bookmarkEnd w:id="0"/>
    <w:p>
      <w:pPr>
        <w:pStyle w:val="3"/>
        <w:spacing w:before="0"/>
      </w:pPr>
      <w:r>
        <w:t>1.化学品及企业标识</w:t>
      </w:r>
    </w:p>
    <w:p>
      <w:pPr>
        <w:pStyle w:val="3"/>
      </w:pPr>
      <w:r>
        <w:t>中文名：十六烷基三甲基溴化铵</w:t>
      </w:r>
    </w:p>
    <w:p>
      <w:pPr>
        <w:pStyle w:val="3"/>
        <w:spacing w:before="40"/>
      </w:pPr>
      <w:r>
        <w:t>英文名：Hexadecyltrimethylammonium bromide</w:t>
      </w:r>
    </w:p>
    <w:p>
      <w:pPr>
        <w:pStyle w:val="3"/>
      </w:pPr>
      <w:r>
        <w:t>中文别名：十六烷基三甲基溴化铵；溴化十六烷基三甲铵；N,N,N-三甲基-1-十六烷基溴化铵；鲸蜡烷三甲基溴化铵</w:t>
      </w:r>
    </w:p>
    <w:p>
      <w:pPr>
        <w:pStyle w:val="3"/>
        <w:spacing w:before="40" w:line="280" w:lineRule="auto"/>
      </w:pPr>
      <w:r>
        <w:rPr>
          <w:w w:val="90"/>
        </w:rPr>
        <w:t>英文别名：Hexadecyltrimethylammonium</w:t>
      </w:r>
      <w:r>
        <w:rPr>
          <w:spacing w:val="56"/>
          <w:w w:val="90"/>
        </w:rPr>
        <w:t xml:space="preserve"> </w:t>
      </w:r>
      <w:r>
        <w:rPr>
          <w:w w:val="90"/>
        </w:rPr>
        <w:t>bromide;N,N,N-Trimethyl-1-hexadecylammonium</w:t>
      </w:r>
      <w:r>
        <w:rPr>
          <w:spacing w:val="56"/>
          <w:w w:val="90"/>
        </w:rPr>
        <w:t xml:space="preserve"> </w:t>
      </w:r>
      <w:r>
        <w:rPr>
          <w:w w:val="90"/>
        </w:rPr>
        <w:t xml:space="preserve">bromide;Cetyltrimethylammonium </w:t>
      </w:r>
      <w:r>
        <w:t>bromide;Cetrimonium bromide</w:t>
      </w:r>
    </w:p>
    <w:p>
      <w:pPr>
        <w:pStyle w:val="3"/>
        <w:spacing w:before="0"/>
      </w:pPr>
      <w:r>
        <w:t>推荐用途：实验室用化验、试验及科学实验。</w:t>
      </w:r>
    </w:p>
    <w:p>
      <w:pPr>
        <w:pStyle w:val="3"/>
      </w:pPr>
      <w:r>
        <w:t>限制用途：不可作为药品、食品、家庭或其它用途</w:t>
      </w:r>
    </w:p>
    <w:p>
      <w:pPr>
        <w:pStyle w:val="3"/>
        <w:spacing w:before="40"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pPr>
      <w:r>
        <w:t>传真：86-021-63214037</w:t>
      </w:r>
    </w:p>
    <w:p>
      <w:pPr>
        <w:pStyle w:val="3"/>
        <w:spacing w:before="40"/>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CSDS57-09-0 十六烷基三甲基溴化铵</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2.危险性概述</w:t>
      </w:r>
    </w:p>
    <w:p>
      <w:pPr>
        <w:pStyle w:val="3"/>
        <w:spacing w:line="280" w:lineRule="auto"/>
        <w:ind w:right="183"/>
      </w:pPr>
      <w:r>
        <w:rPr>
          <w:w w:val="98"/>
        </w:rPr>
        <w:t xml:space="preserve"> </w:t>
      </w:r>
      <w:r>
        <w:rPr>
          <w:w w:val="95"/>
        </w:rPr>
        <w:t>2.1    紧急情况概述：白色结晶或结晶性粉末，有刺激性气味，具吸湿性。吞咽有害。造成皮肤刺激。造成严重眼损伤。可能造成呼吸道刺激。长期吞咽或反复接触可能损害(胃肠道)器官。对水生生物毒性极大。过量接触需采取特殊急救措施和进行医疗随访。用水雾</w:t>
      </w:r>
    </w:p>
    <w:p>
      <w:pPr>
        <w:pStyle w:val="3"/>
        <w:spacing w:before="0"/>
      </w:pPr>
      <w:r>
        <w:t>,耐醇泡沫,干粉或二氧化碳灭火。如必要的话,戴自给式呼吸器去救火。</w:t>
      </w:r>
    </w:p>
    <w:p>
      <w:pPr>
        <w:pStyle w:val="3"/>
        <w:spacing w:before="40"/>
      </w:pPr>
      <w:r>
        <w:rPr>
          <w:w w:val="98"/>
        </w:rPr>
        <w:t xml:space="preserve"> </w:t>
      </w:r>
      <w:r>
        <w:t>2.2 GHS危险性分类：急性毒性,经口（类别4）皮肤腐蚀/刺激（类别2）严重眼睛损伤/眼睛刺激性（类别1）特异性靶器官系统毒性</w:t>
      </w:r>
    </w:p>
    <w:p>
      <w:pPr>
        <w:pStyle w:val="3"/>
      </w:pPr>
      <w:r>
        <w:t>（一次接触）（类别3）,呼吸系统特异性靶器官系统毒性（反复接触）,经口（类别2）,胃肠道急性水生毒性（类别1）</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1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4.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1792605</wp:posOffset>
            </wp:positionH>
            <wp:positionV relativeFrom="paragraph">
              <wp:posOffset>190500</wp:posOffset>
            </wp:positionV>
            <wp:extent cx="754380" cy="762000"/>
            <wp:effectExtent l="0" t="0" r="7620" b="0"/>
            <wp:wrapTopAndBottom/>
            <wp:docPr id="1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jpeg"/>
                    <pic:cNvPicPr>
                      <a:picLocks noChangeAspect="1"/>
                    </pic:cNvPicPr>
                  </pic:nvPicPr>
                  <pic:blipFill>
                    <a:blip r:embed="rId7"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190500</wp:posOffset>
            </wp:positionV>
            <wp:extent cx="762000" cy="762000"/>
            <wp:effectExtent l="0" t="0" r="0" b="0"/>
            <wp:wrapTopAndBottom/>
            <wp:docPr id="1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5.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4441825</wp:posOffset>
            </wp:positionH>
            <wp:positionV relativeFrom="paragraph">
              <wp:posOffset>190500</wp:posOffset>
            </wp:positionV>
            <wp:extent cx="762000" cy="762000"/>
            <wp:effectExtent l="0" t="0" r="0" b="0"/>
            <wp:wrapTopAndBottom/>
            <wp:docPr id="1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3.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146"/>
      </w:pPr>
      <w:r>
        <w:rPr>
          <w:w w:val="99"/>
        </w:rPr>
        <w:t xml:space="preserve"> </w:t>
      </w:r>
      <w:r>
        <w:rPr>
          <w:spacing w:val="-1"/>
          <w:w w:val="95"/>
        </w:rPr>
        <w:t xml:space="preserve">危险信息：吞咽有害。造成皮肤刺激。造成严重眼损伤。可能造成呼吸道刺激。长期吞咽或反复接触可能损害(胃肠道)器官。对水生    </w:t>
      </w:r>
      <w:r>
        <w:t>生物毒性极大。</w:t>
      </w:r>
    </w:p>
    <w:p>
      <w:pPr>
        <w:pStyle w:val="3"/>
        <w:spacing w:before="0" w:line="280" w:lineRule="auto"/>
        <w:ind w:right="160"/>
      </w:pPr>
      <w:r>
        <w:rPr>
          <w:w w:val="98"/>
        </w:rPr>
        <w:t xml:space="preserve"> </w:t>
      </w:r>
      <w:r>
        <w:rPr>
          <w:w w:val="95"/>
        </w:rPr>
        <w:t>预防措施：不要吸入粉尘/烟/气体/烟雾/蒸气/</w:t>
      </w:r>
      <w:r>
        <w:rPr>
          <w:spacing w:val="-1"/>
          <w:w w:val="95"/>
        </w:rPr>
        <w:t xml:space="preserve">喷雾。作业后彻底清洗皮肤。使用本产品时不要进食、饮水或吸烟。只能在室外或通风   </w:t>
      </w:r>
      <w:r>
        <w:t>良好之处使用。避免释放到环境中。戴防护眼罩/戴防护面具。戴防护手套。</w:t>
      </w:r>
    </w:p>
    <w:p>
      <w:pPr>
        <w:pStyle w:val="3"/>
        <w:spacing w:before="1" w:line="280" w:lineRule="auto"/>
        <w:ind w:right="139"/>
      </w:pPr>
      <w:r>
        <w:rPr>
          <w:w w:val="99"/>
        </w:rPr>
        <w:t xml:space="preserve"> </w:t>
      </w:r>
      <w:r>
        <w:rPr>
          <w:w w:val="95"/>
        </w:rPr>
        <w:t xml:space="preserve">事故响应：如果吞咽并觉不适:立即呼叫解毒中心或就医。漱口。如皮肤沾染：用水充分清洗。如果吸入：将受害人移至空气新鲜处    </w:t>
      </w:r>
      <w:r>
        <w:rPr>
          <w:spacing w:val="-1"/>
        </w:rPr>
        <w:t>并保持呼吸舒适的姿势休息。如觉不适，呼叫解毒中心或就医。如溅入眼睛，用水小心冲洗几分钟。如戴隐形眼镜且便于取出，取出</w:t>
      </w:r>
      <w:r>
        <w:rPr>
          <w:w w:val="95"/>
        </w:rPr>
        <w:t xml:space="preserve">隐形眼镜，继续冲洗。立即呼叫解毒中心或就医。如感觉不适，求医/就诊。如发生皮肤刺激：求医/就诊。脱掉所有沾染的衣服，清     </w:t>
      </w:r>
      <w:r>
        <w:t>洗后方可重新使用。收集溢出物。</w:t>
      </w:r>
    </w:p>
    <w:p>
      <w:pPr>
        <w:pStyle w:val="3"/>
        <w:spacing w:before="0"/>
      </w:pPr>
      <w:r>
        <w:rPr>
          <w:w w:val="99"/>
        </w:rPr>
        <w:t xml:space="preserve"> </w:t>
      </w:r>
      <w:r>
        <w:t>安全存储：存放在通风良好的地方。保持容器密闭。存放处须加锁。</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pPr>
      <w:r>
        <w:rPr>
          <w:w w:val="97"/>
        </w:rPr>
        <w:t xml:space="preserve"> </w:t>
      </w:r>
      <w:r>
        <w:t>2.5 健康危害：吞咽有害。造成皮肤刺激。造成严重眼损伤。可能造成呼吸道刺激。长期吞咽或反复接触可能损害(胃肠道)器官。</w:t>
      </w:r>
    </w:p>
    <w:p>
      <w:pPr>
        <w:pStyle w:val="3"/>
      </w:pPr>
      <w:r>
        <w:rPr>
          <w:w w:val="94"/>
        </w:rPr>
        <w:t xml:space="preserve"> </w:t>
      </w:r>
      <w:r>
        <w:t>2.6 环境危害：对水生生物毒性极大。</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主要成分：十六烷基三甲基溴化铵</w:t>
      </w:r>
      <w:r>
        <w:tab/>
      </w:r>
      <w:r>
        <w:rPr>
          <w:w w:val="95"/>
        </w:rPr>
        <w:t>57-09-0</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spacing w:after="0"/>
        <w:jc w:val="left"/>
        <w:rPr>
          <w:sz w:val="6"/>
        </w:rPr>
        <w:sectPr>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pPr>
      <w:r>
        <w:rPr>
          <w:w w:val="91"/>
        </w:rPr>
        <w:t xml:space="preserve">     </w:t>
      </w:r>
      <w:r>
        <w:t>眼睛防护：戴化学安全防护眼镜。</w:t>
      </w:r>
    </w:p>
    <w:p>
      <w:pPr>
        <w:pStyle w:val="3"/>
        <w:spacing w:before="40"/>
      </w:pPr>
      <w:r>
        <w:rPr>
          <w:w w:val="92"/>
        </w:rPr>
        <w:t xml:space="preserve">     </w:t>
      </w:r>
      <w:r>
        <w:t>皮肤和身体防护：穿化学品防护服。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外观与性状：白色结晶或结晶性粉末，有刺激性气味，具吸湿性。</w:t>
      </w:r>
      <w:r>
        <w:tab/>
      </w:r>
      <w:r>
        <w:t>气味：有刺激性气味</w:t>
      </w:r>
    </w:p>
    <w:p>
      <w:pPr>
        <w:pStyle w:val="3"/>
        <w:tabs>
          <w:tab w:val="left" w:pos="6415"/>
        </w:tabs>
        <w:spacing w:before="8"/>
        <w:ind w:left="140"/>
      </w:pPr>
      <w:r>
        <w:t>气味阈值：无资料</w:t>
      </w:r>
      <w:r>
        <w:tab/>
      </w:r>
      <w:r>
        <w:t>pH：5-7(50g/L,H2O,20℃)</w:t>
      </w:r>
    </w:p>
    <w:p>
      <w:pPr>
        <w:pStyle w:val="3"/>
        <w:tabs>
          <w:tab w:val="left" w:pos="6415"/>
        </w:tabs>
        <w:spacing w:before="7"/>
        <w:ind w:left="140"/>
      </w:pPr>
      <w:r>
        <w:rPr>
          <w:w w:val="95"/>
        </w:rPr>
        <w:t>熔点/凝固点(℃)：248-256℃</w:t>
      </w:r>
      <w:r>
        <w:rPr>
          <w:w w:val="95"/>
        </w:rP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t>闪点(℃)：471.2℉/244℃</w:t>
      </w:r>
    </w:p>
    <w:p>
      <w:pPr>
        <w:pStyle w:val="3"/>
        <w:tabs>
          <w:tab w:val="left" w:pos="6415"/>
        </w:tabs>
        <w:spacing w:before="7"/>
        <w:ind w:left="140"/>
      </w:pPr>
      <w:r>
        <w:t>自燃温度(℃)：无资料</w:t>
      </w:r>
      <w:r>
        <w:tab/>
      </w:r>
      <w:r>
        <w:t>爆炸上限%（V/V）：无资料</w:t>
      </w:r>
    </w:p>
    <w:p>
      <w:pPr>
        <w:spacing w:after="0"/>
        <w:sectPr>
          <w:pgSz w:w="11900" w:h="16840"/>
          <w:pgMar w:top="760" w:right="600" w:bottom="700" w:left="620" w:header="0" w:footer="509" w:gutter="0"/>
          <w:cols w:space="720" w:num="1"/>
        </w:sectPr>
      </w:pPr>
    </w:p>
    <w:p>
      <w:pPr>
        <w:pStyle w:val="3"/>
        <w:spacing w:before="48" w:line="187" w:lineRule="auto"/>
        <w:ind w:left="140"/>
      </w:pPr>
      <w:r>
        <w:t>溶解性：易溶于水，易溶于乙醇，溶于氯仿，微溶于丙酮，几乎不溶于乙醚和苯。</w:t>
      </w:r>
    </w:p>
    <w:p>
      <w:pPr>
        <w:pStyle w:val="3"/>
        <w:spacing w:before="8"/>
        <w:ind w:left="115"/>
      </w:pPr>
      <w:r>
        <w:br w:type="column"/>
      </w:r>
      <w:r>
        <w:rPr>
          <w:w w:val="105"/>
        </w:rPr>
        <w:t>爆炸下限%（V/V）：无资料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69"/>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spacing w:after="0"/>
        <w:sectPr>
          <w:type w:val="continuous"/>
          <w:pgSz w:w="11900" w:h="16840"/>
          <w:pgMar w:top="1580" w:right="600" w:bottom="1180" w:left="620" w:header="720" w:footer="720" w:gutter="0"/>
          <w:cols w:space="720" w:num="1"/>
        </w:sectPr>
      </w:pPr>
    </w:p>
    <w:p>
      <w:pPr>
        <w:pStyle w:val="3"/>
        <w:spacing w:before="50"/>
      </w:pPr>
      <w:r>
        <w:rPr>
          <w:w w:val="92"/>
        </w:rPr>
        <w:t xml:space="preserve"> </w:t>
      </w:r>
      <w:r>
        <w:t>10.3 应避免的条件：无资料</w:t>
      </w:r>
    </w:p>
    <w:p>
      <w:pPr>
        <w:pStyle w:val="3"/>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11.毒理学信息</w:t>
      </w:r>
    </w:p>
    <w:p>
      <w:pPr>
        <w:pStyle w:val="3"/>
      </w:pPr>
      <w:r>
        <w:rPr>
          <w:w w:val="91"/>
        </w:rPr>
        <w:t xml:space="preserve"> </w:t>
      </w:r>
      <w:r>
        <w:t>11.1 急性毒性：无资料</w:t>
      </w:r>
    </w:p>
    <w:p>
      <w:pPr>
        <w:pStyle w:val="3"/>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pPr>
      <w:r>
        <w:rPr>
          <w:w w:val="93"/>
        </w:rPr>
        <w:t xml:space="preserve"> </w:t>
      </w:r>
      <w:r>
        <w:rPr>
          <w:w w:val="95"/>
        </w:rPr>
        <w:t>11.5</w:t>
      </w:r>
      <w:r>
        <w:rPr>
          <w:spacing w:val="-7"/>
          <w:w w:val="95"/>
        </w:rPr>
        <w:t xml:space="preserve"> 生殖细胞突变性：无资料</w:t>
      </w:r>
    </w:p>
    <w:p>
      <w:pPr>
        <w:pStyle w:val="3"/>
        <w:spacing w:before="40"/>
      </w:pPr>
      <w:r>
        <w:rPr>
          <w:w w:val="90"/>
        </w:rPr>
        <w:t xml:space="preserve"> </w:t>
      </w:r>
      <w:r>
        <w:t>11.6 致癌性：无资料</w:t>
      </w:r>
    </w:p>
    <w:p>
      <w:pPr>
        <w:pStyle w:val="3"/>
      </w:pPr>
      <w:r>
        <w:rPr>
          <w:w w:val="91"/>
        </w:rPr>
        <w:t xml:space="preserve"> </w:t>
      </w:r>
      <w:r>
        <w:t>11.7 生殖毒性：无资料</w:t>
      </w:r>
    </w:p>
    <w:p>
      <w:pPr>
        <w:pStyle w:val="3"/>
        <w:spacing w:before="40"/>
      </w:pPr>
      <w:r>
        <w:rPr>
          <w:w w:val="95"/>
        </w:rPr>
        <w:t xml:space="preserve"> 11.8 特异性靶器官系统毒性（一次接触）：无资料</w:t>
      </w:r>
    </w:p>
    <w:p>
      <w:pPr>
        <w:pStyle w:val="3"/>
      </w:pPr>
      <w:r>
        <w:rPr>
          <w:w w:val="95"/>
        </w:rPr>
        <w:t xml:space="preserve"> 11.9 特异性靶器官系统毒性（反复接触）：无资料</w:t>
      </w:r>
    </w:p>
    <w:p>
      <w:pPr>
        <w:pStyle w:val="3"/>
      </w:pPr>
      <w:r>
        <w:rPr>
          <w:w w:val="91"/>
        </w:rPr>
        <w:t xml:space="preserve"> </w:t>
      </w:r>
      <w:r>
        <w:rPr>
          <w:w w:val="90"/>
        </w:rPr>
        <w:t>11.10 吸入危险：无资料</w:t>
      </w:r>
    </w:p>
    <w:p>
      <w:pPr>
        <w:pStyle w:val="3"/>
        <w:spacing w:before="40"/>
      </w:pPr>
      <w:r>
        <w:rPr>
          <w:w w:val="91"/>
        </w:rPr>
        <w:t xml:space="preserve"> </w:t>
      </w:r>
      <w:r>
        <w:rPr>
          <w:w w:val="90"/>
        </w:rPr>
        <w:t>11.11 潜在的健康危险：</w:t>
      </w:r>
    </w:p>
    <w:p>
      <w:pPr>
        <w:pStyle w:val="3"/>
      </w:pPr>
      <w:r>
        <w:rPr>
          <w:w w:val="95"/>
        </w:rPr>
        <w:t xml:space="preserve"> 吸入：无资料</w:t>
      </w:r>
    </w:p>
    <w:p>
      <w:pPr>
        <w:pStyle w:val="3"/>
      </w:pPr>
      <w:r>
        <w:rPr>
          <w:w w:val="95"/>
        </w:rPr>
        <w:t xml:space="preserve"> 摄入：无资料</w:t>
      </w:r>
    </w:p>
    <w:p>
      <w:pPr>
        <w:pStyle w:val="3"/>
        <w:spacing w:before="40"/>
      </w:pPr>
      <w:r>
        <w:rPr>
          <w:w w:val="95"/>
        </w:rPr>
        <w:t xml:space="preserve"> 皮肤：无资料</w:t>
      </w:r>
    </w:p>
    <w:p>
      <w:pPr>
        <w:pStyle w:val="3"/>
        <w:spacing w:line="220" w:lineRule="exact"/>
      </w:pPr>
      <w:r>
        <w:rPr>
          <w:w w:val="95"/>
        </w:rPr>
        <w:t xml:space="preserve"> 眼睛：无资料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12.生态学信息</w:t>
      </w:r>
    </w:p>
    <w:p>
      <w:pPr>
        <w:pStyle w:val="3"/>
        <w:spacing w:before="40"/>
      </w:pPr>
      <w:r>
        <w:rPr>
          <w:w w:val="91"/>
        </w:rPr>
        <w:t xml:space="preserve"> </w:t>
      </w:r>
      <w:r>
        <w:t>12.1 生态毒性：无资料</w:t>
      </w:r>
    </w:p>
    <w:p>
      <w:pPr>
        <w:pStyle w:val="3"/>
      </w:pPr>
      <w:r>
        <w:rPr>
          <w:w w:val="93"/>
        </w:rPr>
        <w:t xml:space="preserve"> </w:t>
      </w:r>
      <w:r>
        <w:t>12.2 持久性和降解性：无资料</w:t>
      </w:r>
    </w:p>
    <w:p>
      <w:pPr>
        <w:pStyle w:val="3"/>
      </w:pPr>
      <w:r>
        <w:rPr>
          <w:w w:val="93"/>
        </w:rPr>
        <w:t xml:space="preserve"> </w:t>
      </w:r>
      <w:r>
        <w:t>12.3 潜在的生物累积性：无资料</w:t>
      </w:r>
    </w:p>
    <w:p>
      <w:pPr>
        <w:pStyle w:val="3"/>
        <w:spacing w:before="40"/>
      </w:pPr>
      <w:r>
        <w:rPr>
          <w:w w:val="93"/>
        </w:rPr>
        <w:t xml:space="preserve"> </w:t>
      </w:r>
      <w:r>
        <w:t>12.4 土壤中的迁移性：无资料</w:t>
      </w:r>
    </w:p>
    <w:p>
      <w:pPr>
        <w:pStyle w:val="3"/>
        <w:spacing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pPr>
      <w:r>
        <w:rPr>
          <w:w w:val="96"/>
        </w:rPr>
        <w:t xml:space="preserve"> </w:t>
      </w:r>
      <w:r>
        <w:t>13.1 残余废弃物处置方法：将剩余的和未回收的溶液交给处理公司。</w:t>
      </w:r>
    </w:p>
    <w:p>
      <w:pPr>
        <w:pStyle w:val="3"/>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spacing w:before="40"/>
      </w:pPr>
      <w:r>
        <w:rPr>
          <w:w w:val="104"/>
        </w:rPr>
        <w:t xml:space="preserve">  </w:t>
      </w:r>
      <w:r>
        <w:rPr>
          <w:w w:val="105"/>
        </w:rPr>
        <w:t>危规号CN：NA</w:t>
      </w:r>
    </w:p>
    <w:p>
      <w:pPr>
        <w:pStyle w:val="3"/>
      </w:pPr>
      <w:r>
        <w:rPr>
          <w:w w:val="98"/>
        </w:rPr>
        <w:t xml:space="preserve">  </w:t>
      </w:r>
      <w:r>
        <w:t>联合国危险货物编号：NA</w:t>
      </w:r>
    </w:p>
    <w:p>
      <w:pPr>
        <w:pStyle w:val="3"/>
      </w:pPr>
      <w:r>
        <w:rPr>
          <w:w w:val="82"/>
        </w:rPr>
        <w:t xml:space="preserve">  </w:t>
      </w:r>
      <w:r>
        <w:rPr>
          <w:w w:val="90"/>
        </w:rPr>
        <w:t>联合国运输名称：Environmentally hazardous substance, solid, n.o.s.</w:t>
      </w:r>
    </w:p>
    <w:p>
      <w:pPr>
        <w:pStyle w:val="3"/>
        <w:spacing w:before="40"/>
      </w:pPr>
      <w:r>
        <w:rPr>
          <w:w w:val="98"/>
        </w:rPr>
        <w:t xml:space="preserve">  </w:t>
      </w:r>
      <w:r>
        <w:t>联合国危险性分类：NA</w:t>
      </w:r>
    </w:p>
    <w:p>
      <w:pPr>
        <w:pStyle w:val="3"/>
      </w:pPr>
      <w:r>
        <w:rPr>
          <w:w w:val="90"/>
        </w:rPr>
        <w:t xml:space="preserve">  </w:t>
      </w:r>
      <w:r>
        <w:t>包装组：Ⅲ</w:t>
      </w:r>
    </w:p>
    <w:p>
      <w:pPr>
        <w:pStyle w:val="3"/>
        <w:spacing w:before="40"/>
      </w:pPr>
      <w:r>
        <w:rPr>
          <w:w w:val="93"/>
        </w:rPr>
        <w:t xml:space="preserve">  </w:t>
      </w:r>
      <w:r>
        <w:t>包装方法：无资料</w:t>
      </w:r>
    </w:p>
    <w:p>
      <w:pPr>
        <w:pStyle w:val="3"/>
      </w:pPr>
      <w:r>
        <w:rPr>
          <w:w w:val="93"/>
        </w:rPr>
        <w:t xml:space="preserve">  </w:t>
      </w:r>
      <w:r>
        <w:t>海洋污染物（是/否）：是</w:t>
      </w:r>
    </w:p>
    <w:p>
      <w:pPr>
        <w:pStyle w:val="3"/>
        <w:spacing w:before="0" w:line="270" w:lineRule="atLeast"/>
        <w:ind w:right="136"/>
      </w:pPr>
      <w:r>
        <w:rPr>
          <w:w w:val="98"/>
        </w:rPr>
        <w:t xml:space="preserve">  </w:t>
      </w:r>
      <w:r>
        <w:rPr>
          <w:w w:val="95"/>
        </w:rPr>
        <w:t>运输注意事项：危险品独立包装,液体5升以上或固体5公斤以上,每个独立包装外和独立内包装合并后的外包装上都必须有EHS</w:t>
      </w:r>
      <w:r>
        <w:rPr>
          <w:spacing w:val="-5"/>
          <w:w w:val="95"/>
        </w:rPr>
        <w:t xml:space="preserve">标识(根   </w:t>
      </w:r>
      <w:r>
        <w:t>据欧洲ADR法规2.2.9.1.10,IMDG法规2.10.3)</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spacing w:before="40"/>
      </w:pPr>
      <w:r>
        <w:rPr>
          <w:w w:val="88"/>
        </w:rPr>
        <w:t xml:space="preserve">        </w:t>
      </w:r>
      <w:r>
        <w:t>《危险化学品名录》（2015版）：未列入</w:t>
      </w:r>
    </w:p>
    <w:p>
      <w:pPr>
        <w:pStyle w:val="3"/>
      </w:pPr>
      <w:r>
        <w:rPr>
          <w:w w:val="89"/>
        </w:rPr>
        <w:t xml:space="preserve">        </w:t>
      </w:r>
      <w:r>
        <w:t>《易制毒化学品名录》（2002版）：未列入</w:t>
      </w:r>
    </w:p>
    <w:p>
      <w:pPr>
        <w:pStyle w:val="3"/>
        <w:spacing w:before="40"/>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spacing w:before="4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243"/>
      </w:pPr>
      <w:r>
        <w:rPr>
          <w:w w:val="98"/>
        </w:rPr>
        <w:t xml:space="preserve">  </w:t>
      </w:r>
      <w:r>
        <w:rPr>
          <w:spacing w:val="-1"/>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w:t>
      </w:r>
    </w:p>
    <w:p>
      <w:pPr>
        <w:spacing w:after="0" w:line="280" w:lineRule="auto"/>
        <w:sectPr>
          <w:pgSz w:w="11900" w:h="16840"/>
          <w:pgMar w:top="760" w:right="600" w:bottom="700" w:left="620" w:header="0" w:footer="509" w:gutter="0"/>
          <w:cols w:space="720" w:num="1"/>
        </w:sectPr>
      </w:pPr>
    </w:p>
    <w:p>
      <w:pPr>
        <w:pStyle w:val="3"/>
        <w:spacing w:before="50" w:line="280" w:lineRule="auto"/>
        <w:ind w:right="186"/>
      </w:pPr>
      <w:r>
        <w:t>安全预防资料。获取CSDS的使用者，在特殊的使用条件下，必须对本CSDS的适用性作出独立的判断，对特殊的使用场合下，由于使用本SDS所导致的伤害，本公司将不负任何责任。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270C6383"/>
    <w:rsid w:val="16047413"/>
    <w:rsid w:val="270C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semiHidden/>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2023-11-02T08:59:00Z</dcterms:created>
  <dc:creator>刘文丹。</dc:creator>
  <cp:lastModifiedBy>刘文丹。</cp:lastModifiedBy>
  <dcterms:modified xsi:type="dcterms:W3CDTF">2023-11-02T08:59:31Z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359187EB6B4A49149163E4672BE4CD74_11</vt:lpwstr>
  </property>
</Properties>
</file>